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8F026F">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spellStart"/>
      <w:proofErr w:type="gramStart"/>
      <w:r w:rsidRPr="00D638EA">
        <w:rPr>
          <w:rFonts w:ascii="Arial" w:hAnsi="Arial" w:cs="Arial"/>
          <w:sz w:val="20"/>
          <w:szCs w:val="20"/>
        </w:rPr>
        <w:t>nora</w:t>
      </w:r>
      <w:proofErr w:type="spellEnd"/>
      <w:proofErr w:type="gramEnd"/>
      <w:r w:rsidRPr="00D638EA">
        <w:rPr>
          <w:rFonts w:ascii="Arial" w:hAnsi="Arial" w:cs="Arial"/>
          <w:sz w:val="20"/>
          <w:szCs w:val="20"/>
          <w:vertAlign w:val="superscript"/>
        </w:rPr>
        <w:t>®</w:t>
      </w:r>
      <w:r w:rsidRPr="00D638EA">
        <w:rPr>
          <w:rFonts w:ascii="Arial" w:hAnsi="Arial" w:cs="Arial"/>
          <w:sz w:val="20"/>
          <w:szCs w:val="20"/>
        </w:rPr>
        <w:t xml:space="preserve"> </w:t>
      </w:r>
      <w:r w:rsidR="003F60E3">
        <w:rPr>
          <w:rFonts w:ascii="Arial" w:hAnsi="Arial" w:cs="Arial"/>
          <w:sz w:val="20"/>
          <w:szCs w:val="20"/>
        </w:rPr>
        <w:t xml:space="preserve">cove stick, </w:t>
      </w:r>
      <w:proofErr w:type="spellStart"/>
      <w:r w:rsidR="003F60E3" w:rsidRPr="00D638EA">
        <w:rPr>
          <w:rFonts w:ascii="Arial" w:hAnsi="Arial" w:cs="Arial"/>
          <w:sz w:val="20"/>
          <w:szCs w:val="20"/>
        </w:rPr>
        <w:t>nora</w:t>
      </w:r>
      <w:proofErr w:type="spellEnd"/>
      <w:r w:rsidR="003F60E3" w:rsidRPr="00D638EA">
        <w:rPr>
          <w:rFonts w:ascii="Arial" w:hAnsi="Arial" w:cs="Arial"/>
          <w:sz w:val="20"/>
          <w:szCs w:val="20"/>
          <w:vertAlign w:val="superscript"/>
        </w:rPr>
        <w:t>®</w:t>
      </w:r>
      <w:r w:rsidR="003F60E3">
        <w:rPr>
          <w:rFonts w:ascii="Arial" w:hAnsi="Arial" w:cs="Arial"/>
          <w:sz w:val="20"/>
          <w:szCs w:val="20"/>
          <w:vertAlign w:val="superscript"/>
        </w:rPr>
        <w:t xml:space="preserve"> </w:t>
      </w:r>
      <w:r w:rsidR="003F60E3">
        <w:rPr>
          <w:rFonts w:ascii="Arial" w:hAnsi="Arial" w:cs="Arial"/>
          <w:sz w:val="20"/>
          <w:szCs w:val="20"/>
        </w:rPr>
        <w:t xml:space="preserve">sanitary base and </w:t>
      </w:r>
      <w:proofErr w:type="spellStart"/>
      <w:r w:rsidR="003F60E3" w:rsidRPr="00D638EA">
        <w:rPr>
          <w:rFonts w:ascii="Arial" w:hAnsi="Arial" w:cs="Arial"/>
          <w:sz w:val="20"/>
          <w:szCs w:val="20"/>
        </w:rPr>
        <w:t>nora</w:t>
      </w:r>
      <w:proofErr w:type="spellEnd"/>
      <w:r w:rsidR="003F60E3" w:rsidRPr="00D638EA">
        <w:rPr>
          <w:rFonts w:ascii="Arial" w:hAnsi="Arial" w:cs="Arial"/>
          <w:sz w:val="20"/>
          <w:szCs w:val="20"/>
          <w:vertAlign w:val="superscript"/>
        </w:rPr>
        <w:t>®</w:t>
      </w:r>
      <w:r w:rsidR="003F60E3">
        <w:rPr>
          <w:rFonts w:ascii="Arial" w:hAnsi="Arial" w:cs="Arial"/>
          <w:sz w:val="20"/>
          <w:szCs w:val="20"/>
          <w:vertAlign w:val="superscript"/>
        </w:rPr>
        <w:t xml:space="preserve"> </w:t>
      </w:r>
      <w:r w:rsidR="003F60E3">
        <w:rPr>
          <w:rFonts w:ascii="Arial" w:hAnsi="Arial" w:cs="Arial"/>
          <w:sz w:val="20"/>
          <w:szCs w:val="20"/>
        </w:rPr>
        <w:t>wall base</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C435F7" w:rsidRPr="00D638EA" w:rsidRDefault="00C435F7" w:rsidP="003F60E3">
      <w:pPr>
        <w:pStyle w:val="ART"/>
        <w:tabs>
          <w:tab w:val="clear" w:pos="864"/>
          <w:tab w:val="left" w:pos="540"/>
        </w:tabs>
        <w:jc w:val="left"/>
        <w:rPr>
          <w:rFonts w:ascii="Arial" w:hAnsi="Arial" w:cs="Arial"/>
          <w:sz w:val="20"/>
          <w:szCs w:val="20"/>
        </w:rPr>
      </w:pPr>
      <w:r w:rsidRPr="00D638EA">
        <w:rPr>
          <w:rFonts w:ascii="Arial" w:hAnsi="Arial" w:cs="Arial"/>
          <w:sz w:val="20"/>
          <w:szCs w:val="20"/>
        </w:rPr>
        <w:t>RESILIENT BASE AND ACCESSIORIES</w:t>
      </w:r>
    </w:p>
    <w:p w:rsidR="002C77CA" w:rsidRPr="00D638EA" w:rsidRDefault="002C77CA" w:rsidP="003F60E3">
      <w:pPr>
        <w:pStyle w:val="PR1"/>
        <w:spacing w:before="120"/>
        <w:ind w:hanging="324"/>
        <w:rPr>
          <w:rFonts w:ascii="Arial" w:hAnsi="Arial" w:cs="Arial"/>
          <w:sz w:val="20"/>
          <w:szCs w:val="20"/>
        </w:rPr>
      </w:pPr>
      <w:r w:rsidRPr="00D638EA">
        <w:rPr>
          <w:rFonts w:ascii="Arial" w:hAnsi="Arial" w:cs="Arial"/>
          <w:sz w:val="20"/>
          <w:szCs w:val="20"/>
        </w:rPr>
        <w:t>Rubber Cove Stick:</w:t>
      </w:r>
    </w:p>
    <w:tbl>
      <w:tblPr>
        <w:tblW w:w="0" w:type="auto"/>
        <w:tblInd w:w="828" w:type="dxa"/>
        <w:tblLook w:val="04A0"/>
      </w:tblPr>
      <w:tblGrid>
        <w:gridCol w:w="450"/>
        <w:gridCol w:w="4050"/>
        <w:gridCol w:w="5688"/>
      </w:tblGrid>
      <w:tr w:rsidR="00177A6A" w:rsidRPr="00D638EA" w:rsidTr="0076604B">
        <w:tc>
          <w:tcPr>
            <w:tcW w:w="450" w:type="dxa"/>
            <w:shd w:val="clear" w:color="auto" w:fill="auto"/>
          </w:tcPr>
          <w:p w:rsidR="00177A6A" w:rsidRPr="00D638EA" w:rsidRDefault="00177A6A" w:rsidP="004F7012">
            <w:pPr>
              <w:pStyle w:val="ListParagraph"/>
              <w:numPr>
                <w:ilvl w:val="0"/>
                <w:numId w:val="56"/>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177A6A" w:rsidRPr="00D638EA" w:rsidRDefault="00177A6A"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177A6A" w:rsidRPr="00D638EA" w:rsidRDefault="00177A6A" w:rsidP="004F7012">
            <w:pPr>
              <w:spacing w:before="20" w:after="60"/>
              <w:rPr>
                <w:rFonts w:ascii="Arial" w:eastAsia="Calibri" w:hAnsi="Arial" w:cs="Arial"/>
                <w:b/>
                <w:sz w:val="20"/>
                <w:szCs w:val="20"/>
              </w:rPr>
            </w:pPr>
            <w:r w:rsidRPr="00D638EA">
              <w:rPr>
                <w:rFonts w:ascii="Arial" w:eastAsia="Calibri" w:hAnsi="Arial" w:cs="Arial"/>
                <w:b/>
                <w:sz w:val="20"/>
                <w:szCs w:val="20"/>
              </w:rPr>
              <w:t>nora</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cove stick (H 9010), Article 7731</w:t>
            </w:r>
          </w:p>
        </w:tc>
      </w:tr>
      <w:tr w:rsidR="00177A6A" w:rsidRPr="00D638EA" w:rsidTr="0076604B">
        <w:tc>
          <w:tcPr>
            <w:tcW w:w="450" w:type="dxa"/>
            <w:shd w:val="clear" w:color="auto" w:fill="auto"/>
          </w:tcPr>
          <w:p w:rsidR="00177A6A" w:rsidRPr="00D638EA" w:rsidRDefault="00177A6A" w:rsidP="004F7012">
            <w:pPr>
              <w:pStyle w:val="ListParagraph"/>
              <w:numPr>
                <w:ilvl w:val="0"/>
                <w:numId w:val="56"/>
              </w:numPr>
              <w:spacing w:before="20" w:after="60"/>
              <w:contextualSpacing w:val="0"/>
              <w:rPr>
                <w:rFonts w:ascii="Arial" w:eastAsia="Calibri" w:hAnsi="Arial" w:cs="Arial"/>
                <w:sz w:val="20"/>
                <w:szCs w:val="20"/>
              </w:rPr>
            </w:pPr>
          </w:p>
        </w:tc>
        <w:tc>
          <w:tcPr>
            <w:tcW w:w="4050" w:type="dxa"/>
            <w:shd w:val="clear" w:color="auto" w:fill="auto"/>
          </w:tcPr>
          <w:p w:rsidR="00177A6A" w:rsidRPr="00D638EA" w:rsidRDefault="00177A6A"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F1861 Standard Specification for Resilient Wall Base</w:t>
            </w:r>
          </w:p>
        </w:tc>
        <w:tc>
          <w:tcPr>
            <w:tcW w:w="5688" w:type="dxa"/>
            <w:shd w:val="clear" w:color="auto" w:fill="auto"/>
          </w:tcPr>
          <w:p w:rsidR="00177A6A" w:rsidRPr="00D638EA" w:rsidRDefault="00177A6A" w:rsidP="004F7012">
            <w:pPr>
              <w:spacing w:before="20" w:after="60"/>
              <w:rPr>
                <w:rFonts w:ascii="Arial" w:eastAsia="Calibri" w:hAnsi="Arial" w:cs="Arial"/>
                <w:sz w:val="20"/>
                <w:szCs w:val="20"/>
              </w:rPr>
            </w:pPr>
            <w:r w:rsidRPr="00D638EA">
              <w:rPr>
                <w:rFonts w:ascii="Arial" w:eastAsia="Calibri" w:hAnsi="Arial" w:cs="Arial"/>
                <w:sz w:val="20"/>
                <w:szCs w:val="20"/>
              </w:rPr>
              <w:t>Type TP - rubber, thermoplastic</w:t>
            </w:r>
          </w:p>
        </w:tc>
      </w:tr>
      <w:tr w:rsidR="00177A6A" w:rsidRPr="00D638EA" w:rsidTr="0076604B">
        <w:tc>
          <w:tcPr>
            <w:tcW w:w="450" w:type="dxa"/>
            <w:shd w:val="clear" w:color="auto" w:fill="auto"/>
          </w:tcPr>
          <w:p w:rsidR="00177A6A" w:rsidRPr="00D638EA" w:rsidRDefault="00177A6A" w:rsidP="004F7012">
            <w:pPr>
              <w:pStyle w:val="ListParagraph"/>
              <w:numPr>
                <w:ilvl w:val="0"/>
                <w:numId w:val="56"/>
              </w:numPr>
              <w:spacing w:before="20" w:after="60"/>
              <w:contextualSpacing w:val="0"/>
              <w:rPr>
                <w:rFonts w:ascii="Arial" w:eastAsia="Calibri" w:hAnsi="Arial" w:cs="Arial"/>
                <w:sz w:val="20"/>
                <w:szCs w:val="20"/>
              </w:rPr>
            </w:pPr>
          </w:p>
        </w:tc>
        <w:tc>
          <w:tcPr>
            <w:tcW w:w="4050" w:type="dxa"/>
            <w:shd w:val="clear" w:color="auto" w:fill="auto"/>
          </w:tcPr>
          <w:p w:rsidR="00177A6A" w:rsidRPr="00D638EA" w:rsidRDefault="00177A6A"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177A6A" w:rsidRPr="00D638EA" w:rsidRDefault="00177A6A" w:rsidP="004F7012">
            <w:pPr>
              <w:spacing w:before="20" w:after="60"/>
              <w:rPr>
                <w:rFonts w:ascii="Arial" w:eastAsia="Calibri" w:hAnsi="Arial" w:cs="Arial"/>
                <w:sz w:val="20"/>
                <w:szCs w:val="20"/>
              </w:rPr>
            </w:pPr>
            <w:r w:rsidRPr="00D638EA">
              <w:rPr>
                <w:rFonts w:ascii="Arial" w:eastAsia="Calibri" w:hAnsi="Arial" w:cs="Arial"/>
                <w:sz w:val="20"/>
                <w:szCs w:val="20"/>
              </w:rPr>
              <w:t>1 year</w:t>
            </w:r>
            <w:r w:rsidR="003B2EE9" w:rsidRPr="00D638EA">
              <w:rPr>
                <w:rFonts w:ascii="Arial" w:eastAsia="Calibri" w:hAnsi="Arial" w:cs="Arial"/>
                <w:sz w:val="20"/>
                <w:szCs w:val="20"/>
              </w:rPr>
              <w:t>, D</w:t>
            </w:r>
            <w:r w:rsidRPr="00D638EA">
              <w:rPr>
                <w:rFonts w:ascii="Arial" w:eastAsia="Calibri" w:hAnsi="Arial" w:cs="Arial"/>
                <w:sz w:val="20"/>
                <w:szCs w:val="20"/>
              </w:rPr>
              <w:t>efect</w:t>
            </w:r>
          </w:p>
        </w:tc>
      </w:tr>
      <w:tr w:rsidR="00177A6A" w:rsidRPr="00D638EA" w:rsidTr="0076604B">
        <w:tc>
          <w:tcPr>
            <w:tcW w:w="450" w:type="dxa"/>
            <w:shd w:val="clear" w:color="auto" w:fill="auto"/>
          </w:tcPr>
          <w:p w:rsidR="00177A6A" w:rsidRPr="00D638EA" w:rsidRDefault="00177A6A" w:rsidP="004F7012">
            <w:pPr>
              <w:pStyle w:val="ListParagraph"/>
              <w:numPr>
                <w:ilvl w:val="0"/>
                <w:numId w:val="56"/>
              </w:numPr>
              <w:spacing w:before="20" w:after="60"/>
              <w:contextualSpacing w:val="0"/>
              <w:rPr>
                <w:rFonts w:ascii="Arial" w:eastAsia="Calibri" w:hAnsi="Arial" w:cs="Arial"/>
                <w:sz w:val="20"/>
                <w:szCs w:val="20"/>
              </w:rPr>
            </w:pPr>
          </w:p>
        </w:tc>
        <w:tc>
          <w:tcPr>
            <w:tcW w:w="4050" w:type="dxa"/>
            <w:shd w:val="clear" w:color="auto" w:fill="auto"/>
          </w:tcPr>
          <w:p w:rsidR="00177A6A" w:rsidRPr="00D638EA" w:rsidRDefault="00177A6A"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177A6A" w:rsidRPr="00D638EA" w:rsidRDefault="00177A6A" w:rsidP="004F7012">
            <w:pPr>
              <w:spacing w:before="20" w:after="60"/>
              <w:rPr>
                <w:rFonts w:ascii="Arial" w:eastAsia="Calibri" w:hAnsi="Arial" w:cs="Arial"/>
                <w:sz w:val="20"/>
                <w:szCs w:val="20"/>
              </w:rPr>
            </w:pPr>
            <w:r w:rsidRPr="00D638EA">
              <w:rPr>
                <w:rFonts w:ascii="Arial" w:eastAsia="Calibri" w:hAnsi="Arial" w:cs="Arial"/>
                <w:sz w:val="20"/>
                <w:szCs w:val="20"/>
              </w:rPr>
              <w:t>nora</w:t>
            </w:r>
            <w:r w:rsidR="00153519" w:rsidRPr="00153519">
              <w:rPr>
                <w:rFonts w:ascii="Arial" w:eastAsia="Calibri" w:hAnsi="Arial" w:cs="Arial"/>
                <w:sz w:val="20"/>
                <w:szCs w:val="20"/>
                <w:vertAlign w:val="superscript"/>
              </w:rPr>
              <w:t>®</w:t>
            </w:r>
            <w:r w:rsidRPr="00D638EA">
              <w:rPr>
                <w:rFonts w:ascii="Arial" w:eastAsia="Calibri" w:hAnsi="Arial" w:cs="Arial"/>
                <w:sz w:val="20"/>
                <w:szCs w:val="20"/>
              </w:rPr>
              <w:t xml:space="preserve"> rubber compound 959 with abundant natural fillers and environmentally compatible color pigments</w:t>
            </w:r>
          </w:p>
        </w:tc>
      </w:tr>
      <w:tr w:rsidR="00177A6A" w:rsidRPr="00D638EA" w:rsidTr="0076604B">
        <w:tc>
          <w:tcPr>
            <w:tcW w:w="450" w:type="dxa"/>
            <w:shd w:val="clear" w:color="auto" w:fill="auto"/>
          </w:tcPr>
          <w:p w:rsidR="00177A6A" w:rsidRPr="00D638EA" w:rsidRDefault="00177A6A" w:rsidP="004F7012">
            <w:pPr>
              <w:pStyle w:val="ListParagraph"/>
              <w:numPr>
                <w:ilvl w:val="0"/>
                <w:numId w:val="56"/>
              </w:numPr>
              <w:spacing w:before="20" w:after="60"/>
              <w:contextualSpacing w:val="0"/>
              <w:rPr>
                <w:rFonts w:ascii="Arial" w:eastAsia="Calibri" w:hAnsi="Arial" w:cs="Arial"/>
                <w:sz w:val="20"/>
                <w:szCs w:val="20"/>
              </w:rPr>
            </w:pPr>
          </w:p>
        </w:tc>
        <w:tc>
          <w:tcPr>
            <w:tcW w:w="4050" w:type="dxa"/>
            <w:shd w:val="clear" w:color="auto" w:fill="auto"/>
          </w:tcPr>
          <w:p w:rsidR="00177A6A"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177A6A"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1 standard color</w:t>
            </w:r>
          </w:p>
        </w:tc>
      </w:tr>
      <w:tr w:rsidR="003B2EE9" w:rsidRPr="00D638EA" w:rsidTr="0076604B">
        <w:tc>
          <w:tcPr>
            <w:tcW w:w="450" w:type="dxa"/>
            <w:shd w:val="clear" w:color="auto" w:fill="auto"/>
          </w:tcPr>
          <w:p w:rsidR="003B2EE9" w:rsidRPr="00D638EA" w:rsidRDefault="003B2EE9" w:rsidP="004F7012">
            <w:pPr>
              <w:pStyle w:val="ListParagraph"/>
              <w:numPr>
                <w:ilvl w:val="0"/>
                <w:numId w:val="56"/>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~32.8 foot (10m) length</w:t>
            </w:r>
          </w:p>
        </w:tc>
      </w:tr>
      <w:tr w:rsidR="003B2EE9" w:rsidRPr="00D638EA" w:rsidTr="0076604B">
        <w:tc>
          <w:tcPr>
            <w:tcW w:w="450" w:type="dxa"/>
            <w:shd w:val="clear" w:color="auto" w:fill="auto"/>
          </w:tcPr>
          <w:p w:rsidR="003B2EE9" w:rsidRPr="00D638EA" w:rsidRDefault="003B2EE9" w:rsidP="004F7012">
            <w:pPr>
              <w:pStyle w:val="ListParagraph"/>
              <w:numPr>
                <w:ilvl w:val="0"/>
                <w:numId w:val="56"/>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NBSIR 75 950, 1.0 </w:t>
            </w:r>
          </w:p>
        </w:tc>
      </w:tr>
      <w:tr w:rsidR="003B2EE9" w:rsidRPr="00D638EA" w:rsidTr="0076604B">
        <w:tc>
          <w:tcPr>
            <w:tcW w:w="450" w:type="dxa"/>
            <w:shd w:val="clear" w:color="auto" w:fill="auto"/>
          </w:tcPr>
          <w:p w:rsidR="003B2EE9" w:rsidRPr="00D638EA" w:rsidRDefault="003B2EE9" w:rsidP="004F7012">
            <w:pPr>
              <w:pStyle w:val="ListParagraph"/>
              <w:numPr>
                <w:ilvl w:val="0"/>
                <w:numId w:val="56"/>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 xml:space="preserve">NFPA 258; NBS, 147 (flaming) and 249 (non-flaming) </w:t>
            </w:r>
          </w:p>
        </w:tc>
      </w:tr>
      <w:tr w:rsidR="003B2EE9" w:rsidRPr="00D638EA" w:rsidTr="0076604B">
        <w:tc>
          <w:tcPr>
            <w:tcW w:w="450" w:type="dxa"/>
            <w:shd w:val="clear" w:color="auto" w:fill="auto"/>
          </w:tcPr>
          <w:p w:rsidR="003B2EE9" w:rsidRPr="00D638EA" w:rsidRDefault="003B2EE9" w:rsidP="004F7012">
            <w:pPr>
              <w:pStyle w:val="ListParagraph"/>
              <w:numPr>
                <w:ilvl w:val="0"/>
                <w:numId w:val="56"/>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 xml:space="preserve">Per ASTM F710 and the </w:t>
            </w:r>
            <w:proofErr w:type="spellStart"/>
            <w:r w:rsidRPr="00D638EA">
              <w:rPr>
                <w:rFonts w:ascii="Arial" w:eastAsia="Calibri" w:hAnsi="Arial" w:cs="Arial"/>
                <w:sz w:val="20"/>
                <w:szCs w:val="20"/>
              </w:rPr>
              <w:t>nora</w:t>
            </w:r>
            <w:proofErr w:type="spellEnd"/>
            <w:r w:rsidR="009C6712">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2C77CA" w:rsidRPr="00D638EA" w:rsidRDefault="002C77CA" w:rsidP="009102C5">
      <w:pPr>
        <w:pStyle w:val="PR1"/>
        <w:ind w:hanging="324"/>
        <w:rPr>
          <w:rFonts w:ascii="Arial" w:hAnsi="Arial" w:cs="Arial"/>
          <w:sz w:val="20"/>
          <w:szCs w:val="20"/>
        </w:rPr>
      </w:pPr>
      <w:r w:rsidRPr="00D638EA">
        <w:rPr>
          <w:rFonts w:ascii="Arial" w:hAnsi="Arial" w:cs="Arial"/>
          <w:sz w:val="20"/>
          <w:szCs w:val="20"/>
        </w:rPr>
        <w:t>Rubber Wall Base:</w:t>
      </w:r>
    </w:p>
    <w:tbl>
      <w:tblPr>
        <w:tblW w:w="0" w:type="auto"/>
        <w:tblInd w:w="828" w:type="dxa"/>
        <w:tblLook w:val="04A0"/>
      </w:tblPr>
      <w:tblGrid>
        <w:gridCol w:w="450"/>
        <w:gridCol w:w="4050"/>
        <w:gridCol w:w="5688"/>
      </w:tblGrid>
      <w:tr w:rsidR="003B2EE9" w:rsidRPr="00D638EA" w:rsidTr="0076604B">
        <w:tc>
          <w:tcPr>
            <w:tcW w:w="450" w:type="dxa"/>
            <w:shd w:val="clear" w:color="auto" w:fill="auto"/>
          </w:tcPr>
          <w:p w:rsidR="003B2EE9" w:rsidRPr="00D638EA" w:rsidRDefault="003B2EE9" w:rsidP="004F7012">
            <w:pPr>
              <w:pStyle w:val="ListParagraph"/>
              <w:numPr>
                <w:ilvl w:val="0"/>
                <w:numId w:val="57"/>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3B2EE9" w:rsidRPr="00D638EA" w:rsidRDefault="003B2EE9" w:rsidP="004F7012">
            <w:pPr>
              <w:spacing w:before="20" w:after="60"/>
              <w:rPr>
                <w:rFonts w:ascii="Arial" w:eastAsia="Calibri" w:hAnsi="Arial" w:cs="Arial"/>
                <w:b/>
                <w:sz w:val="20"/>
                <w:szCs w:val="20"/>
              </w:rPr>
            </w:pPr>
            <w:r w:rsidRPr="00D638EA">
              <w:rPr>
                <w:rFonts w:ascii="Arial" w:eastAsia="Calibri" w:hAnsi="Arial" w:cs="Arial"/>
                <w:b/>
                <w:sz w:val="20"/>
                <w:szCs w:val="20"/>
              </w:rPr>
              <w:t>nora</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sanitary base (S 3019 D), Article 817</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F1861 Standard Specification for Resilient Wall Base</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Type TP - rubber, thermoplastic</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5 years</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nora</w:t>
            </w:r>
            <w:r w:rsidR="00153519" w:rsidRPr="00153519">
              <w:rPr>
                <w:rFonts w:ascii="Arial" w:eastAsia="Calibri" w:hAnsi="Arial" w:cs="Arial"/>
                <w:sz w:val="20"/>
                <w:szCs w:val="20"/>
                <w:vertAlign w:val="superscript"/>
              </w:rPr>
              <w:t>®</w:t>
            </w:r>
            <w:r w:rsidRPr="00D638EA">
              <w:rPr>
                <w:rFonts w:ascii="Arial" w:eastAsia="Calibri" w:hAnsi="Arial" w:cs="Arial"/>
                <w:sz w:val="20"/>
                <w:szCs w:val="20"/>
              </w:rPr>
              <w:t xml:space="preserve"> rubber compound 959 with abundant natural fillers and environmentally compatible color pigments</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Homogeneous rubber</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14 standard colors</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Smooth</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~32.8 foot (10m) length</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Thickness (ASTM F386):</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~0.12 inch (3mm)</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Depth:</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~6 inches (152mm)</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NBSIR 75 950, 1.0 </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 147 (flaming) and 249 (non-flaming) </w:t>
            </w:r>
          </w:p>
        </w:tc>
      </w:tr>
      <w:tr w:rsidR="003B2EE9" w:rsidRPr="00D638EA" w:rsidTr="0076604B">
        <w:tc>
          <w:tcPr>
            <w:tcW w:w="450" w:type="dxa"/>
            <w:shd w:val="clear" w:color="auto" w:fill="auto"/>
          </w:tcPr>
          <w:p w:rsidR="003B2EE9" w:rsidRPr="00D638EA" w:rsidRDefault="003B2EE9" w:rsidP="004F7012">
            <w:pPr>
              <w:pStyle w:val="ListParagraph"/>
              <w:numPr>
                <w:ilvl w:val="0"/>
                <w:numId w:val="57"/>
              </w:numPr>
              <w:spacing w:before="20" w:after="60"/>
              <w:contextualSpacing w:val="0"/>
              <w:rPr>
                <w:rFonts w:ascii="Arial" w:eastAsia="Calibri" w:hAnsi="Arial" w:cs="Arial"/>
                <w:sz w:val="20"/>
                <w:szCs w:val="20"/>
              </w:rPr>
            </w:pPr>
          </w:p>
        </w:tc>
        <w:tc>
          <w:tcPr>
            <w:tcW w:w="4050" w:type="dxa"/>
            <w:shd w:val="clear" w:color="auto" w:fill="auto"/>
          </w:tcPr>
          <w:p w:rsidR="003B2EE9" w:rsidRPr="00D638EA" w:rsidRDefault="003B2EE9"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3B2EE9" w:rsidRPr="00D638EA" w:rsidRDefault="003B2EE9" w:rsidP="004F7012">
            <w:pPr>
              <w:spacing w:before="20" w:after="60"/>
              <w:rPr>
                <w:rFonts w:ascii="Arial" w:eastAsia="Calibri" w:hAnsi="Arial" w:cs="Arial"/>
                <w:sz w:val="20"/>
                <w:szCs w:val="20"/>
              </w:rPr>
            </w:pPr>
            <w:r w:rsidRPr="00D638EA">
              <w:rPr>
                <w:rFonts w:ascii="Arial" w:eastAsia="Calibri" w:hAnsi="Arial" w:cs="Arial"/>
                <w:sz w:val="20"/>
                <w:szCs w:val="20"/>
              </w:rPr>
              <w:t xml:space="preserve">Per ASTM F710 and the </w:t>
            </w:r>
            <w:proofErr w:type="spellStart"/>
            <w:r w:rsidRPr="00D638EA">
              <w:rPr>
                <w:rFonts w:ascii="Arial" w:eastAsia="Calibri" w:hAnsi="Arial" w:cs="Arial"/>
                <w:sz w:val="20"/>
                <w:szCs w:val="20"/>
              </w:rPr>
              <w:t>nora</w:t>
            </w:r>
            <w:proofErr w:type="spellEnd"/>
            <w:r w:rsidR="009C6712">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2C77CA" w:rsidRPr="00D638EA" w:rsidRDefault="002C77CA" w:rsidP="009102C5">
      <w:pPr>
        <w:pStyle w:val="PR1"/>
        <w:ind w:hanging="324"/>
        <w:rPr>
          <w:rFonts w:ascii="Arial" w:hAnsi="Arial" w:cs="Arial"/>
          <w:sz w:val="20"/>
          <w:szCs w:val="20"/>
        </w:rPr>
      </w:pPr>
      <w:r w:rsidRPr="00D638EA">
        <w:rPr>
          <w:rFonts w:ascii="Arial" w:hAnsi="Arial" w:cs="Arial"/>
          <w:sz w:val="20"/>
          <w:szCs w:val="20"/>
        </w:rPr>
        <w:t>Rubber Wall Base:</w:t>
      </w:r>
    </w:p>
    <w:tbl>
      <w:tblPr>
        <w:tblW w:w="0" w:type="auto"/>
        <w:tblInd w:w="828" w:type="dxa"/>
        <w:tblLook w:val="04A0"/>
      </w:tblPr>
      <w:tblGrid>
        <w:gridCol w:w="450"/>
        <w:gridCol w:w="4050"/>
        <w:gridCol w:w="5688"/>
      </w:tblGrid>
      <w:tr w:rsidR="00061E57" w:rsidRPr="00D638EA" w:rsidTr="0076604B">
        <w:tc>
          <w:tcPr>
            <w:tcW w:w="450" w:type="dxa"/>
            <w:shd w:val="clear" w:color="auto" w:fill="auto"/>
          </w:tcPr>
          <w:p w:rsidR="00061E57" w:rsidRPr="00D638EA" w:rsidRDefault="00061E57" w:rsidP="004F7012">
            <w:pPr>
              <w:pStyle w:val="ListParagraph"/>
              <w:numPr>
                <w:ilvl w:val="0"/>
                <w:numId w:val="58"/>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061E57" w:rsidRPr="00D638EA" w:rsidRDefault="00061E57" w:rsidP="004F7012">
            <w:pPr>
              <w:spacing w:before="20" w:after="60"/>
              <w:rPr>
                <w:rFonts w:ascii="Arial" w:eastAsia="Calibri" w:hAnsi="Arial" w:cs="Arial"/>
                <w:b/>
                <w:sz w:val="20"/>
                <w:szCs w:val="20"/>
              </w:rPr>
            </w:pPr>
            <w:r w:rsidRPr="00D638EA">
              <w:rPr>
                <w:rFonts w:ascii="Arial" w:eastAsia="Calibri" w:hAnsi="Arial" w:cs="Arial"/>
                <w:b/>
                <w:sz w:val="20"/>
                <w:szCs w:val="20"/>
              </w:rPr>
              <w:t>nora</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wall base (S 1028 B), Article 820</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F1861 Standard Specification for Resilient Wall Base</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Type TP - rubber, thermoplastic</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5 years</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nora</w:t>
            </w:r>
            <w:r w:rsidR="009C6712">
              <w:rPr>
                <w:rFonts w:ascii="Arial" w:eastAsia="Calibri" w:hAnsi="Arial" w:cs="Arial"/>
                <w:sz w:val="20"/>
                <w:szCs w:val="20"/>
                <w:vertAlign w:val="superscript"/>
              </w:rPr>
              <w:t>®</w:t>
            </w:r>
            <w:r w:rsidRPr="00D638EA">
              <w:rPr>
                <w:rFonts w:ascii="Arial" w:eastAsia="Calibri" w:hAnsi="Arial" w:cs="Arial"/>
                <w:sz w:val="20"/>
                <w:szCs w:val="20"/>
              </w:rPr>
              <w:t xml:space="preserve"> rubber compound 999</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Heterogeneous rubber</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70 standard colors</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Smooth</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~120 foot (36.6m) length</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Thickness (ASTM F386):</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~0.125 inch (3.175mm)</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Depth:</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~4 inch (102mm)</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NBSIR 75 950, 0.99</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 258 (flaming) and 273 (non-flaming) </w:t>
            </w:r>
          </w:p>
        </w:tc>
      </w:tr>
      <w:tr w:rsidR="00061E57" w:rsidRPr="00D638EA" w:rsidTr="0076604B">
        <w:tc>
          <w:tcPr>
            <w:tcW w:w="450" w:type="dxa"/>
            <w:shd w:val="clear" w:color="auto" w:fill="auto"/>
          </w:tcPr>
          <w:p w:rsidR="00061E57" w:rsidRPr="00D638EA" w:rsidRDefault="00061E57" w:rsidP="004F7012">
            <w:pPr>
              <w:pStyle w:val="ListParagraph"/>
              <w:numPr>
                <w:ilvl w:val="0"/>
                <w:numId w:val="58"/>
              </w:numPr>
              <w:spacing w:before="20" w:after="60"/>
              <w:contextualSpacing w:val="0"/>
              <w:rPr>
                <w:rFonts w:ascii="Arial" w:eastAsia="Calibri" w:hAnsi="Arial" w:cs="Arial"/>
                <w:sz w:val="20"/>
                <w:szCs w:val="20"/>
              </w:rPr>
            </w:pPr>
          </w:p>
        </w:tc>
        <w:tc>
          <w:tcPr>
            <w:tcW w:w="4050" w:type="dxa"/>
            <w:shd w:val="clear" w:color="auto" w:fill="auto"/>
          </w:tcPr>
          <w:p w:rsidR="00061E57" w:rsidRPr="00D638EA" w:rsidRDefault="00061E57" w:rsidP="004F7012">
            <w:pPr>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061E57" w:rsidRPr="00D638EA" w:rsidRDefault="000F4C2D"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3939C2" w:rsidP="00CC696D">
      <w:pPr>
        <w:pStyle w:val="PRT"/>
        <w:rPr>
          <w:rFonts w:ascii="Arial" w:hAnsi="Arial" w:cs="Arial"/>
          <w:sz w:val="20"/>
          <w:szCs w:val="20"/>
        </w:rPr>
      </w:pPr>
      <w:r w:rsidRPr="00D638EA">
        <w:rPr>
          <w:rFonts w:ascii="Arial" w:hAnsi="Arial" w:cs="Arial"/>
          <w:sz w:val="20"/>
          <w:szCs w:val="20"/>
        </w:rPr>
        <w:lastRenderedPageBreak/>
        <w:t>EXECUTION</w:t>
      </w:r>
    </w:p>
    <w:p w:rsidR="003939C2" w:rsidRPr="00D638EA" w:rsidRDefault="003939C2" w:rsidP="009102C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9102C5">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F27AD3">
      <w:pPr>
        <w:pStyle w:val="PR2"/>
        <w:spacing w:before="20"/>
        <w:contextualSpacing w:val="0"/>
        <w:rPr>
          <w:rFonts w:ascii="Arial" w:hAnsi="Arial" w:cs="Arial"/>
          <w:sz w:val="20"/>
          <w:szCs w:val="20"/>
        </w:rPr>
      </w:pPr>
      <w:r w:rsidRPr="00D638EA">
        <w:rPr>
          <w:rFonts w:ascii="Arial" w:hAnsi="Arial" w:cs="Arial"/>
          <w:sz w:val="20"/>
          <w:szCs w:val="20"/>
        </w:rPr>
        <w:t>Approved by nora systems, Inc. for all of the requirements of the project or INSTALL (International Standards &amp; Training Alliance) certified for the requirements of the project.</w:t>
      </w:r>
    </w:p>
    <w:p w:rsidR="003939C2" w:rsidRPr="00D638EA" w:rsidRDefault="003939C2" w:rsidP="00F27AD3">
      <w:pPr>
        <w:pStyle w:val="PR2"/>
        <w:spacing w:before="20"/>
        <w:contextualSpacing w:val="0"/>
        <w:rPr>
          <w:rFonts w:ascii="Arial" w:hAnsi="Arial" w:cs="Arial"/>
          <w:sz w:val="20"/>
          <w:szCs w:val="20"/>
        </w:rPr>
      </w:pPr>
      <w:r w:rsidRPr="00D638EA">
        <w:rPr>
          <w:rFonts w:ascii="Arial" w:hAnsi="Arial" w:cs="Arial"/>
          <w:sz w:val="20"/>
          <w:szCs w:val="20"/>
        </w:rPr>
        <w:t>An effective installation manager, to manage the project, installers, and ensure that all of the required procedures are followed as detailed in the nora Installation Guide (available at www.nora.com/us).</w:t>
      </w:r>
    </w:p>
    <w:p w:rsidR="003939C2" w:rsidRPr="00D638EA" w:rsidRDefault="00213241" w:rsidP="00F27AD3">
      <w:pPr>
        <w:pStyle w:val="PR1"/>
        <w:spacing w:before="120"/>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544" w:rsidRDefault="00465544" w:rsidP="003939C2">
      <w:r>
        <w:separator/>
      </w:r>
    </w:p>
  </w:endnote>
  <w:endnote w:type="continuationSeparator" w:id="0">
    <w:p w:rsidR="00465544" w:rsidRDefault="00465544"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44" w:rsidRPr="0051362B" w:rsidRDefault="00465544"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65544" w:rsidRPr="00750B91" w:rsidRDefault="00465544"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E834C0" w:rsidRPr="0051362B">
      <w:rPr>
        <w:rFonts w:ascii="Arial" w:hAnsi="Arial" w:cs="Arial"/>
        <w:sz w:val="16"/>
        <w:szCs w:val="16"/>
      </w:rPr>
      <w:fldChar w:fldCharType="begin"/>
    </w:r>
    <w:r w:rsidRPr="0051362B">
      <w:rPr>
        <w:rFonts w:ascii="Arial" w:hAnsi="Arial" w:cs="Arial"/>
        <w:sz w:val="16"/>
        <w:szCs w:val="16"/>
      </w:rPr>
      <w:instrText xml:space="preserve"> PAGE </w:instrText>
    </w:r>
    <w:r w:rsidR="00E834C0" w:rsidRPr="0051362B">
      <w:rPr>
        <w:rFonts w:ascii="Arial" w:hAnsi="Arial" w:cs="Arial"/>
        <w:sz w:val="16"/>
        <w:szCs w:val="16"/>
      </w:rPr>
      <w:fldChar w:fldCharType="separate"/>
    </w:r>
    <w:r w:rsidR="009C6712">
      <w:rPr>
        <w:rFonts w:ascii="Arial" w:hAnsi="Arial" w:cs="Arial"/>
        <w:noProof/>
        <w:sz w:val="16"/>
        <w:szCs w:val="16"/>
      </w:rPr>
      <w:t>7</w:t>
    </w:r>
    <w:r w:rsidR="00E834C0"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44" w:rsidRPr="0051362B" w:rsidRDefault="00465544"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sidR="000F0EC1">
      <w:rPr>
        <w:rStyle w:val="NUM"/>
        <w:rFonts w:ascii="Arial" w:hAnsi="Arial" w:cs="Arial"/>
        <w:sz w:val="16"/>
        <w:szCs w:val="16"/>
      </w:rPr>
      <w:t>3/2017</w:t>
    </w:r>
  </w:p>
  <w:p w:rsidR="00465544" w:rsidRDefault="00465544"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E834C0" w:rsidRPr="0051362B">
      <w:rPr>
        <w:rFonts w:ascii="Arial" w:hAnsi="Arial" w:cs="Arial"/>
        <w:sz w:val="16"/>
        <w:szCs w:val="16"/>
      </w:rPr>
      <w:fldChar w:fldCharType="begin"/>
    </w:r>
    <w:r w:rsidRPr="0051362B">
      <w:rPr>
        <w:rFonts w:ascii="Arial" w:hAnsi="Arial" w:cs="Arial"/>
        <w:sz w:val="16"/>
        <w:szCs w:val="16"/>
      </w:rPr>
      <w:instrText xml:space="preserve"> PAGE </w:instrText>
    </w:r>
    <w:r w:rsidR="00E834C0" w:rsidRPr="0051362B">
      <w:rPr>
        <w:rFonts w:ascii="Arial" w:hAnsi="Arial" w:cs="Arial"/>
        <w:sz w:val="16"/>
        <w:szCs w:val="16"/>
      </w:rPr>
      <w:fldChar w:fldCharType="separate"/>
    </w:r>
    <w:r w:rsidR="009C6712">
      <w:rPr>
        <w:rFonts w:ascii="Arial" w:hAnsi="Arial" w:cs="Arial"/>
        <w:noProof/>
        <w:sz w:val="16"/>
        <w:szCs w:val="16"/>
      </w:rPr>
      <w:t>1</w:t>
    </w:r>
    <w:r w:rsidR="00E834C0"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544" w:rsidRDefault="00465544" w:rsidP="003939C2">
      <w:r>
        <w:separator/>
      </w:r>
    </w:p>
  </w:footnote>
  <w:footnote w:type="continuationSeparator" w:id="0">
    <w:p w:rsidR="00465544" w:rsidRDefault="00465544"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44" w:rsidRPr="00546A16" w:rsidRDefault="00465544"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8F026F">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44" w:rsidRDefault="00465544">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 xml:space="preserve">GUIDE SPECIFICATIONS IN CSI FORMAT: RESILIENT </w:t>
    </w:r>
    <w:proofErr w:type="gramStart"/>
    <w:r w:rsidRPr="0051362B">
      <w:rPr>
        <w:rStyle w:val="NAM"/>
        <w:rFonts w:ascii="Arial" w:hAnsi="Arial" w:cs="Arial"/>
        <w:sz w:val="16"/>
        <w:szCs w:val="16"/>
      </w:rPr>
      <w:t>FLOORING</w:t>
    </w:r>
    <w:r w:rsidR="008F026F">
      <w:rPr>
        <w:rStyle w:val="NAM"/>
        <w:rFonts w:ascii="Arial" w:hAnsi="Arial" w:cs="Arial"/>
        <w:sz w:val="16"/>
        <w:szCs w:val="16"/>
      </w:rPr>
      <w:t xml:space="preserve">  </w:t>
    </w:r>
    <w:r w:rsidRPr="0051362B">
      <w:rPr>
        <w:rStyle w:val="NUM"/>
        <w:rFonts w:ascii="Arial" w:hAnsi="Arial" w:cs="Arial"/>
        <w:sz w:val="16"/>
        <w:szCs w:val="16"/>
      </w:rPr>
      <w:t>096500</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61E57"/>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305F7"/>
    <w:rsid w:val="0023470A"/>
    <w:rsid w:val="002358A2"/>
    <w:rsid w:val="00241CC7"/>
    <w:rsid w:val="00242506"/>
    <w:rsid w:val="0025202D"/>
    <w:rsid w:val="002529F1"/>
    <w:rsid w:val="002578B6"/>
    <w:rsid w:val="00267CCD"/>
    <w:rsid w:val="00284184"/>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3F60E3"/>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44CD"/>
    <w:rsid w:val="004A0ADE"/>
    <w:rsid w:val="004B0371"/>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2D12"/>
    <w:rsid w:val="0051362B"/>
    <w:rsid w:val="00522FCF"/>
    <w:rsid w:val="0054079A"/>
    <w:rsid w:val="00540870"/>
    <w:rsid w:val="00546A16"/>
    <w:rsid w:val="00552CC7"/>
    <w:rsid w:val="0056624A"/>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C45F4"/>
    <w:rsid w:val="006C5599"/>
    <w:rsid w:val="006C673F"/>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1A33"/>
    <w:rsid w:val="007F2000"/>
    <w:rsid w:val="007F23DF"/>
    <w:rsid w:val="008020A4"/>
    <w:rsid w:val="00821F8E"/>
    <w:rsid w:val="00823799"/>
    <w:rsid w:val="008249F6"/>
    <w:rsid w:val="008477E8"/>
    <w:rsid w:val="008607A8"/>
    <w:rsid w:val="00860A77"/>
    <w:rsid w:val="00863903"/>
    <w:rsid w:val="008643DC"/>
    <w:rsid w:val="00871C68"/>
    <w:rsid w:val="00875B39"/>
    <w:rsid w:val="00884F5C"/>
    <w:rsid w:val="008959C6"/>
    <w:rsid w:val="008B0D13"/>
    <w:rsid w:val="008C360A"/>
    <w:rsid w:val="008C5097"/>
    <w:rsid w:val="008C5DB3"/>
    <w:rsid w:val="008D69C0"/>
    <w:rsid w:val="008E2533"/>
    <w:rsid w:val="008F026F"/>
    <w:rsid w:val="008F133D"/>
    <w:rsid w:val="008F2A67"/>
    <w:rsid w:val="00903547"/>
    <w:rsid w:val="00903D8F"/>
    <w:rsid w:val="009102C5"/>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1423"/>
    <w:rsid w:val="009C6712"/>
    <w:rsid w:val="009D4D28"/>
    <w:rsid w:val="009D71B1"/>
    <w:rsid w:val="009E22D9"/>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6B5A"/>
    <w:rsid w:val="00B919B4"/>
    <w:rsid w:val="00B94EF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0651"/>
    <w:rsid w:val="00DE19B5"/>
    <w:rsid w:val="00DE7945"/>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34C0"/>
    <w:rsid w:val="00E86341"/>
    <w:rsid w:val="00EB4AF7"/>
    <w:rsid w:val="00EC4DFC"/>
    <w:rsid w:val="00EE2BE5"/>
    <w:rsid w:val="00EE3E50"/>
    <w:rsid w:val="00EE5859"/>
    <w:rsid w:val="00EF1646"/>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C6712"/>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C671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9C6712"/>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1624-7FC5-4112-BAC0-B622594F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2122</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13711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4</cp:revision>
  <cp:lastPrinted>2017-03-09T20:51:00Z</cp:lastPrinted>
  <dcterms:created xsi:type="dcterms:W3CDTF">2017-03-14T18:34:00Z</dcterms:created>
  <dcterms:modified xsi:type="dcterms:W3CDTF">2017-03-14T22:26:00Z</dcterms:modified>
</cp:coreProperties>
</file>