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97" w:rsidRDefault="00E00797">
      <w:pPr>
        <w:pStyle w:val="SCT"/>
      </w:pPr>
      <w:r>
        <w:t xml:space="preserve">SECTION </w:t>
      </w:r>
      <w:r>
        <w:rPr>
          <w:rStyle w:val="NUM"/>
        </w:rPr>
        <w:t>095123</w:t>
      </w:r>
      <w:r>
        <w:t xml:space="preserve"> </w:t>
      </w:r>
      <w:r w:rsidR="00675130">
        <w:t>–</w:t>
      </w:r>
      <w:r>
        <w:t xml:space="preserve"> </w:t>
      </w:r>
      <w:r w:rsidR="00675130">
        <w:t xml:space="preserve">USG </w:t>
      </w:r>
      <w:r w:rsidR="00572F62">
        <w:t>PANZ</w:t>
      </w:r>
      <w:r w:rsidR="002F57E1">
        <w:t>™</w:t>
      </w:r>
      <w:r w:rsidR="00572F62">
        <w:t xml:space="preserve"> ALUMINUM PAN CEILING TILE</w:t>
      </w:r>
    </w:p>
    <w:p w:rsidR="001F4A7D" w:rsidRPr="001B0BEB" w:rsidRDefault="001F4A7D" w:rsidP="001F4A7D">
      <w:pPr>
        <w:pStyle w:val="PR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</w:rPr>
      </w:pPr>
      <w:r w:rsidRPr="001B0BEB">
        <w:rPr>
          <w:b/>
          <w:color w:val="C00000"/>
        </w:rPr>
        <w:t>USG PANZ</w:t>
      </w:r>
      <w:r w:rsidR="002F57E1">
        <w:rPr>
          <w:b/>
          <w:color w:val="C00000"/>
        </w:rPr>
        <w:t>™</w:t>
      </w:r>
      <w:r w:rsidRPr="001B0BEB">
        <w:rPr>
          <w:b/>
          <w:color w:val="C00000"/>
        </w:rPr>
        <w:t xml:space="preserve"> METAL PAN CEILINGS</w:t>
      </w:r>
    </w:p>
    <w:p w:rsidR="001F4A7D" w:rsidRPr="0081031E" w:rsidRDefault="001F4A7D" w:rsidP="001F4A7D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C00000"/>
          <w:sz w:val="20"/>
        </w:rPr>
      </w:pPr>
      <w:r w:rsidRPr="0081031E">
        <w:rPr>
          <w:color w:val="C00000"/>
          <w:sz w:val="20"/>
        </w:rPr>
        <w:t>This section is to provide USG specific for specification 095133 Part2 section 3.</w:t>
      </w:r>
    </w:p>
    <w:p w:rsidR="001F4A7D" w:rsidRPr="0081031E" w:rsidRDefault="001F4A7D" w:rsidP="001F4A7D">
      <w:pPr>
        <w:pStyle w:val="NoSpacing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20"/>
        </w:rPr>
      </w:pPr>
      <w:r w:rsidRPr="0081031E">
        <w:rPr>
          <w:color w:val="C00000"/>
          <w:sz w:val="20"/>
        </w:rPr>
        <w:t xml:space="preserve">Contact  </w:t>
      </w:r>
      <w:r w:rsidRPr="0081031E">
        <w:rPr>
          <w:b/>
          <w:color w:val="C00000"/>
          <w:sz w:val="20"/>
        </w:rPr>
        <w:t>&lt;insert USG product representative here&gt;</w:t>
      </w:r>
      <w:r w:rsidRPr="0081031E">
        <w:rPr>
          <w:color w:val="C00000"/>
          <w:sz w:val="20"/>
        </w:rPr>
        <w:t xml:space="preserve"> or 800.874.4968 for technical questions</w:t>
      </w:r>
    </w:p>
    <w:p w:rsidR="001F4A7D" w:rsidRPr="0081031E" w:rsidRDefault="001F4A7D" w:rsidP="001F4A7D">
      <w:pPr>
        <w:pStyle w:val="NoSpacing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20"/>
        </w:rPr>
      </w:pPr>
      <w:r w:rsidRPr="0081031E">
        <w:rPr>
          <w:color w:val="C00000"/>
          <w:sz w:val="20"/>
        </w:rPr>
        <w:t>Panel thickness:</w:t>
      </w:r>
      <w:r w:rsidR="0081031E">
        <w:rPr>
          <w:color w:val="C00000"/>
          <w:sz w:val="20"/>
        </w:rPr>
        <w:t xml:space="preserve"> Reference table below for base metal thickness.</w:t>
      </w:r>
    </w:p>
    <w:p w:rsidR="001F4A7D" w:rsidRPr="0081031E" w:rsidRDefault="001F4A7D" w:rsidP="0081031E">
      <w:pPr>
        <w:pStyle w:val="NoSpacing"/>
        <w:rPr>
          <w:color w:val="C00000"/>
        </w:rPr>
      </w:pPr>
    </w:p>
    <w:tbl>
      <w:tblPr>
        <w:tblW w:w="9576" w:type="dxa"/>
        <w:tblInd w:w="18" w:type="dxa"/>
        <w:tblLook w:val="04A0" w:firstRow="1" w:lastRow="0" w:firstColumn="1" w:lastColumn="0" w:noHBand="0" w:noVBand="1"/>
      </w:tblPr>
      <w:tblGrid>
        <w:gridCol w:w="1674"/>
        <w:gridCol w:w="899"/>
        <w:gridCol w:w="899"/>
        <w:gridCol w:w="836"/>
        <w:gridCol w:w="899"/>
        <w:gridCol w:w="899"/>
        <w:gridCol w:w="899"/>
        <w:gridCol w:w="836"/>
        <w:gridCol w:w="899"/>
        <w:gridCol w:w="836"/>
      </w:tblGrid>
      <w:tr w:rsidR="001F4A7D" w:rsidRPr="0081031E" w:rsidTr="002847F4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panel size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12x48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12x60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24x24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24x48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24x60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24x72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48x48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30x30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30x60</w:t>
            </w:r>
          </w:p>
        </w:tc>
      </w:tr>
      <w:tr w:rsidR="001F4A7D" w:rsidRPr="0081031E" w:rsidTr="002847F4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thickness 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0.04</w:t>
            </w:r>
          </w:p>
        </w:tc>
      </w:tr>
      <w:tr w:rsidR="001F4A7D" w:rsidRPr="0081031E" w:rsidTr="002847F4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thickness METRIC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0.5334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0.5334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0.508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0.8128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0.8128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0.8128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1.016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0.8128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A7D" w:rsidRPr="0081031E" w:rsidRDefault="001F4A7D" w:rsidP="001F4A7D">
            <w:pPr>
              <w:rPr>
                <w:rFonts w:ascii="Calibri" w:hAnsi="Calibri"/>
                <w:color w:val="C00000"/>
                <w:sz w:val="20"/>
              </w:rPr>
            </w:pPr>
            <w:r w:rsidRPr="0081031E">
              <w:rPr>
                <w:rFonts w:ascii="Calibri" w:hAnsi="Calibri"/>
                <w:color w:val="C00000"/>
                <w:sz w:val="20"/>
              </w:rPr>
              <w:t>1.016</w:t>
            </w:r>
          </w:p>
        </w:tc>
      </w:tr>
    </w:tbl>
    <w:p w:rsidR="008754EE" w:rsidRPr="008754EE" w:rsidRDefault="008754EE" w:rsidP="008754EE">
      <w:pPr>
        <w:pStyle w:val="ART"/>
        <w:numPr>
          <w:ilvl w:val="0"/>
          <w:numId w:val="0"/>
        </w:numPr>
      </w:pPr>
      <w:r>
        <w:t xml:space="preserve">2.3   </w:t>
      </w:r>
      <w:r w:rsidR="00C03834">
        <w:t>USG PANZ ALUMINUM METAL PAN CEILING TILES</w:t>
      </w:r>
    </w:p>
    <w:p w:rsidR="0050272C" w:rsidRPr="009D7320" w:rsidRDefault="0050272C" w:rsidP="00901BF1">
      <w:pPr>
        <w:pStyle w:val="PR1"/>
        <w:rPr>
          <w:rStyle w:val="SAhyperlink"/>
          <w:color w:val="auto"/>
          <w:u w:val="none"/>
        </w:rPr>
      </w:pPr>
      <w:r w:rsidRPr="009D7320">
        <w:rPr>
          <w:rStyle w:val="SAhyperlink"/>
          <w:color w:val="auto"/>
          <w:u w:val="none"/>
        </w:rPr>
        <w:t xml:space="preserve">Acoustical Panel Type </w:t>
      </w:r>
      <w:r w:rsidRPr="009D7320">
        <w:rPr>
          <w:rStyle w:val="SAhyperlink"/>
          <w:b/>
          <w:color w:val="auto"/>
          <w:u w:val="none"/>
        </w:rPr>
        <w:t>&lt;INSERT DESIGNATION HERE&gt;</w:t>
      </w:r>
      <w:r w:rsidRPr="009D7320">
        <w:rPr>
          <w:rStyle w:val="SAhyperlink"/>
          <w:color w:val="auto"/>
          <w:u w:val="none"/>
        </w:rPr>
        <w:t>:</w:t>
      </w:r>
    </w:p>
    <w:p w:rsidR="0050272C" w:rsidRPr="009D7320" w:rsidRDefault="0050272C" w:rsidP="0050272C">
      <w:pPr>
        <w:pStyle w:val="PR2"/>
        <w:jc w:val="left"/>
      </w:pPr>
      <w:r w:rsidRPr="009D7320">
        <w:rPr>
          <w:rStyle w:val="SAhyperlink"/>
          <w:color w:val="auto"/>
          <w:u w:val="none"/>
        </w:rPr>
        <w:t>Basis of Design: Subject to compliance with project requirements, the design is based on the following: USG Interiors, LLC</w:t>
      </w:r>
      <w:r w:rsidR="00D82422" w:rsidRPr="009D7320">
        <w:rPr>
          <w:rStyle w:val="SAhyperlink"/>
          <w:color w:val="auto"/>
          <w:u w:val="none"/>
        </w:rPr>
        <w:t>,</w:t>
      </w:r>
      <w:r w:rsidR="00B9268A" w:rsidRPr="009D7320">
        <w:rPr>
          <w:rStyle w:val="SAhyperlink"/>
          <w:color w:val="auto"/>
          <w:u w:val="none"/>
        </w:rPr>
        <w:t xml:space="preserve"> </w:t>
      </w:r>
      <w:r w:rsidR="002F57E1">
        <w:rPr>
          <w:rStyle w:val="SAhyperlink"/>
          <w:color w:val="auto"/>
          <w:u w:val="none"/>
        </w:rPr>
        <w:t>“</w:t>
      </w:r>
      <w:r w:rsidR="00FD1F3D">
        <w:rPr>
          <w:rStyle w:val="SAhyperlink"/>
          <w:color w:val="auto"/>
          <w:u w:val="none"/>
        </w:rPr>
        <w:t>Panz</w:t>
      </w:r>
      <w:r w:rsidRPr="009D7320">
        <w:rPr>
          <w:rStyle w:val="SAhyperlink"/>
          <w:color w:val="auto"/>
          <w:u w:val="none"/>
        </w:rPr>
        <w:t>”</w:t>
      </w:r>
      <w:r w:rsidR="00D82422" w:rsidRPr="009D7320">
        <w:rPr>
          <w:rStyle w:val="SAhyperlink"/>
          <w:color w:val="auto"/>
          <w:u w:val="none"/>
        </w:rPr>
        <w:t>.</w:t>
      </w:r>
      <w:bookmarkStart w:id="0" w:name="_GoBack"/>
      <w:bookmarkEnd w:id="0"/>
    </w:p>
    <w:p w:rsidR="0050272C" w:rsidRPr="009D7320" w:rsidRDefault="0050272C" w:rsidP="0050272C">
      <w:pPr>
        <w:pStyle w:val="PR2"/>
        <w:rPr>
          <w:rStyle w:val="SAhyperlink"/>
          <w:color w:val="auto"/>
          <w:u w:val="none"/>
        </w:rPr>
      </w:pPr>
      <w:r w:rsidRPr="009D7320">
        <w:rPr>
          <w:rStyle w:val="SAhyperlink"/>
          <w:color w:val="auto"/>
          <w:u w:val="none"/>
        </w:rPr>
        <w:t>Classification:  Provide ceiling panels complying with ASTM E 1264 for type, form and pattern as follows:</w:t>
      </w:r>
      <w:r w:rsidR="009D7320" w:rsidRPr="009D7320">
        <w:rPr>
          <w:rStyle w:val="SAhyperlink"/>
          <w:color w:val="auto"/>
          <w:u w:val="none"/>
        </w:rPr>
        <w:tab/>
      </w:r>
    </w:p>
    <w:p w:rsidR="0050272C" w:rsidRPr="009D7320" w:rsidRDefault="0050272C" w:rsidP="0050272C">
      <w:pPr>
        <w:pStyle w:val="PR3"/>
        <w:rPr>
          <w:rStyle w:val="SAhyperlink"/>
          <w:color w:val="auto"/>
          <w:u w:val="none"/>
        </w:rPr>
      </w:pPr>
      <w:r w:rsidRPr="009D7320">
        <w:rPr>
          <w:rStyle w:val="SAhyperlink"/>
          <w:color w:val="auto"/>
          <w:u w:val="none"/>
        </w:rPr>
        <w:t>Type</w:t>
      </w:r>
      <w:r w:rsidR="004025D2" w:rsidRPr="009D7320">
        <w:rPr>
          <w:rStyle w:val="SAhyperlink"/>
          <w:color w:val="auto"/>
          <w:u w:val="none"/>
        </w:rPr>
        <w:t>:</w:t>
      </w:r>
      <w:r w:rsidRPr="009D7320">
        <w:rPr>
          <w:rStyle w:val="SAhyperlink"/>
          <w:color w:val="auto"/>
          <w:u w:val="none"/>
        </w:rPr>
        <w:t xml:space="preserve"> </w:t>
      </w:r>
      <w:r w:rsidR="00FD1F3D">
        <w:rPr>
          <w:rStyle w:val="SAhyperlink"/>
          <w:color w:val="auto"/>
          <w:u w:val="none"/>
        </w:rPr>
        <w:t>V</w:t>
      </w:r>
      <w:r w:rsidR="00B9268A" w:rsidRPr="009D7320">
        <w:rPr>
          <w:rStyle w:val="SAhyperlink"/>
          <w:color w:val="auto"/>
          <w:u w:val="none"/>
        </w:rPr>
        <w:t>II</w:t>
      </w:r>
      <w:r w:rsidRPr="009D7320">
        <w:rPr>
          <w:rStyle w:val="SAhyperlink"/>
          <w:color w:val="auto"/>
          <w:u w:val="none"/>
        </w:rPr>
        <w:t xml:space="preserve">, </w:t>
      </w:r>
      <w:r w:rsidR="00CF4264">
        <w:rPr>
          <w:rStyle w:val="SAhyperlink"/>
          <w:color w:val="auto"/>
          <w:u w:val="none"/>
        </w:rPr>
        <w:t xml:space="preserve">Perforated aluminum facing (pan) with mineral glass or fiber </w:t>
      </w:r>
      <w:r w:rsidR="00C37975">
        <w:rPr>
          <w:rStyle w:val="SAhyperlink"/>
          <w:color w:val="auto"/>
          <w:u w:val="none"/>
        </w:rPr>
        <w:t xml:space="preserve">base </w:t>
      </w:r>
      <w:r w:rsidR="00CF4264">
        <w:rPr>
          <w:rStyle w:val="SAhyperlink"/>
          <w:color w:val="auto"/>
          <w:u w:val="none"/>
        </w:rPr>
        <w:t>backing.</w:t>
      </w:r>
    </w:p>
    <w:p w:rsidR="00572F62" w:rsidRDefault="00572F62" w:rsidP="00572F62">
      <w:pPr>
        <w:pStyle w:val="PR3"/>
        <w:rPr>
          <w:rStyle w:val="SAhyperlink"/>
          <w:color w:val="auto"/>
          <w:u w:val="none"/>
        </w:rPr>
      </w:pPr>
      <w:r>
        <w:t xml:space="preserve">Pattern: </w:t>
      </w:r>
      <w:r>
        <w:rPr>
          <w:rStyle w:val="SAhyperlink"/>
          <w:color w:val="auto"/>
          <w:u w:val="none"/>
        </w:rPr>
        <w:t>[A Perforated, regularly spaced large holes] [C Perforated small holes]</w:t>
      </w:r>
      <w:r>
        <w:t xml:space="preserve"> </w:t>
      </w:r>
      <w:r w:rsidR="00C37975">
        <w:t>[A062A] [A062D] [A116] [A250] [B079] [B125] [B188A] [B197] [C062] [C062A] [C116]</w:t>
      </w:r>
      <w:r w:rsidR="00CF4264">
        <w:rPr>
          <w:rStyle w:val="SAhyperlink"/>
          <w:color w:val="auto"/>
          <w:u w:val="none"/>
        </w:rPr>
        <w:t>.</w:t>
      </w:r>
    </w:p>
    <w:p w:rsidR="00E00797" w:rsidRPr="009D7320" w:rsidRDefault="00572F62" w:rsidP="00524422">
      <w:pPr>
        <w:pStyle w:val="PR2"/>
      </w:pPr>
      <w:r>
        <w:t>Pan Face Finish painted in color to match manufacturer’s full range:</w:t>
      </w:r>
      <w:r w:rsidR="003325A0" w:rsidRPr="009D7320">
        <w:t xml:space="preserve"> </w:t>
      </w:r>
      <w:r w:rsidR="005C13F8">
        <w:t>[</w:t>
      </w:r>
      <w:r w:rsidR="00E00797" w:rsidRPr="009D7320">
        <w:t>White</w:t>
      </w:r>
      <w:r w:rsidR="003325A0" w:rsidRPr="009D7320">
        <w:t xml:space="preserve"> 050</w:t>
      </w:r>
      <w:r w:rsidR="005C13F8">
        <w:t>] [Silver Satin 002] [Metallic Copper 1690] [Metallic Gold 1691] [Metallic Oyster 1652] [Aged Copper 1017] [Etched ice dark 1016] [Etched ice light 1015] [Beech] [Dark Bamboo] [Dark Cherry] [Light Bamboo] [Light Cherry] [Maple] [Red Oak] [Walnut]</w:t>
      </w:r>
      <w:r w:rsidR="009C7D03" w:rsidRPr="009D7320">
        <w:t>.</w:t>
      </w:r>
    </w:p>
    <w:p w:rsidR="00E00797" w:rsidRPr="009D7320" w:rsidRDefault="009C7D03" w:rsidP="00524422">
      <w:pPr>
        <w:pStyle w:val="PR2"/>
      </w:pPr>
      <w:r w:rsidRPr="009D7320">
        <w:t xml:space="preserve">LR: Not less than </w:t>
      </w:r>
      <w:r w:rsidR="005C13F8">
        <w:t xml:space="preserve">[Flat White 050 without perforations </w:t>
      </w:r>
      <w:r w:rsidR="0016350C">
        <w:t>0.8].</w:t>
      </w:r>
    </w:p>
    <w:p w:rsidR="00E00797" w:rsidRPr="00174AF9" w:rsidRDefault="00E00797" w:rsidP="00524422">
      <w:pPr>
        <w:pStyle w:val="PR2"/>
      </w:pPr>
      <w:r w:rsidRPr="009D7320">
        <w:t xml:space="preserve">NRC: Not less </w:t>
      </w:r>
      <w:r w:rsidRPr="00174AF9">
        <w:t xml:space="preserve">than </w:t>
      </w:r>
      <w:r w:rsidR="004F3C3F" w:rsidRPr="00174AF9">
        <w:t>[</w:t>
      </w:r>
      <w:r w:rsidR="00A50852" w:rsidRPr="00174AF9">
        <w:t>0.</w:t>
      </w:r>
      <w:r w:rsidR="00174AF9" w:rsidRPr="00174AF9">
        <w:t>65</w:t>
      </w:r>
      <w:r w:rsidR="00174AF9" w:rsidRPr="00174AF9">
        <w:rPr>
          <w:vanish/>
          <w:color w:val="0070C0"/>
        </w:rPr>
        <w:t>with acoustibond backer</w:t>
      </w:r>
      <w:r w:rsidR="006F58B5" w:rsidRPr="00174AF9">
        <w:t>]</w:t>
      </w:r>
      <w:r w:rsidR="00174AF9" w:rsidRPr="00174AF9">
        <w:t xml:space="preserve"> [0.80</w:t>
      </w:r>
      <w:r w:rsidR="00174AF9">
        <w:rPr>
          <w:vanish/>
          <w:color w:val="0070C0"/>
        </w:rPr>
        <w:t>with x-tech backer</w:t>
      </w:r>
      <w:r w:rsidR="00174AF9" w:rsidRPr="00174AF9">
        <w:t xml:space="preserve">] </w:t>
      </w:r>
      <w:r w:rsidR="006F58B5" w:rsidRPr="00174AF9">
        <w:t>[0.9</w:t>
      </w:r>
      <w:r w:rsidR="00174AF9" w:rsidRPr="00174AF9">
        <w:t>0</w:t>
      </w:r>
      <w:r w:rsidR="00174AF9">
        <w:rPr>
          <w:vanish/>
          <w:color w:val="0070C0"/>
        </w:rPr>
        <w:t>with fiberglass backer</w:t>
      </w:r>
      <w:r w:rsidR="006F58B5" w:rsidRPr="00174AF9">
        <w:t>]</w:t>
      </w:r>
      <w:r w:rsidR="00C83A6B" w:rsidRPr="00174AF9">
        <w:t>.</w:t>
      </w:r>
    </w:p>
    <w:p w:rsidR="00E00797" w:rsidRPr="009D7320" w:rsidRDefault="00E00797" w:rsidP="00524422">
      <w:pPr>
        <w:pStyle w:val="PR2"/>
      </w:pPr>
      <w:r w:rsidRPr="009D7320">
        <w:t xml:space="preserve">CAC: Not less than </w:t>
      </w:r>
      <w:r w:rsidR="009D7320" w:rsidRPr="009D7320">
        <w:t>[20]</w:t>
      </w:r>
      <w:r w:rsidR="00174AF9">
        <w:t xml:space="preserve"> </w:t>
      </w:r>
      <w:r w:rsidR="00174AF9" w:rsidRPr="009D7320">
        <w:t>[</w:t>
      </w:r>
      <w:r w:rsidR="00174AF9">
        <w:t>3</w:t>
      </w:r>
      <w:r w:rsidR="00174AF9" w:rsidRPr="009D7320">
        <w:t>0]</w:t>
      </w:r>
      <w:r w:rsidR="00174AF9" w:rsidRPr="00174AF9">
        <w:t xml:space="preserve"> </w:t>
      </w:r>
      <w:r w:rsidR="00174AF9" w:rsidRPr="009D7320">
        <w:t>[</w:t>
      </w:r>
      <w:r w:rsidR="00174AF9">
        <w:t>35</w:t>
      </w:r>
      <w:r w:rsidR="00174AF9" w:rsidRPr="009D7320">
        <w:t>]</w:t>
      </w:r>
      <w:r w:rsidRPr="009D7320">
        <w:t>.</w:t>
      </w:r>
    </w:p>
    <w:p w:rsidR="00905C24" w:rsidRPr="009D7320" w:rsidRDefault="00E00797" w:rsidP="008D3631">
      <w:pPr>
        <w:pStyle w:val="PR2"/>
      </w:pPr>
      <w:r w:rsidRPr="009D7320">
        <w:t xml:space="preserve">Edge/Joint </w:t>
      </w:r>
      <w:r w:rsidRPr="008C20EA">
        <w:t xml:space="preserve">Detail: </w:t>
      </w:r>
      <w:r w:rsidR="008D3631" w:rsidRPr="008C20EA">
        <w:t xml:space="preserve">[Flush reveal] </w:t>
      </w:r>
      <w:r w:rsidR="008C20EA" w:rsidRPr="008C20EA">
        <w:t xml:space="preserve">[Reveal] </w:t>
      </w:r>
      <w:r w:rsidR="008D3631" w:rsidRPr="008C20EA">
        <w:t>[Square].</w:t>
      </w:r>
    </w:p>
    <w:p w:rsidR="00EE3BD5" w:rsidRPr="009D7320" w:rsidRDefault="00EE3BD5" w:rsidP="00524422">
      <w:pPr>
        <w:pStyle w:val="PR2"/>
        <w:rPr>
          <w:b/>
        </w:rPr>
      </w:pPr>
      <w:r w:rsidRPr="009D7320">
        <w:t xml:space="preserve">Suspension Grid Width </w:t>
      </w:r>
      <w:r w:rsidRPr="009D7320">
        <w:rPr>
          <w:b/>
        </w:rPr>
        <w:t>[</w:t>
      </w:r>
      <w:r w:rsidRPr="009D7320">
        <w:rPr>
          <w:rStyle w:val="IP"/>
          <w:b/>
        </w:rPr>
        <w:t>9/16 inch</w:t>
      </w:r>
      <w:r w:rsidR="003325A0" w:rsidRPr="009D7320">
        <w:rPr>
          <w:rStyle w:val="IP"/>
          <w:b/>
        </w:rPr>
        <w:t xml:space="preserve"> </w:t>
      </w:r>
      <w:r w:rsidR="003325A0" w:rsidRPr="009D7320">
        <w:rPr>
          <w:rStyle w:val="SI"/>
          <w:b/>
        </w:rPr>
        <w:t>(1</w:t>
      </w:r>
      <w:r w:rsidR="00FF1D23" w:rsidRPr="009D7320">
        <w:rPr>
          <w:rStyle w:val="SI"/>
          <w:b/>
        </w:rPr>
        <w:t>4</w:t>
      </w:r>
      <w:r w:rsidR="003325A0" w:rsidRPr="009D7320">
        <w:rPr>
          <w:rStyle w:val="SI"/>
          <w:b/>
        </w:rPr>
        <w:t xml:space="preserve"> mm)</w:t>
      </w:r>
      <w:r w:rsidRPr="009D7320">
        <w:rPr>
          <w:b/>
        </w:rPr>
        <w:t xml:space="preserve">] </w:t>
      </w:r>
      <w:r w:rsidR="003325A0" w:rsidRPr="009D7320">
        <w:rPr>
          <w:b/>
        </w:rPr>
        <w:t>[</w:t>
      </w:r>
      <w:r w:rsidR="003325A0" w:rsidRPr="009D7320">
        <w:rPr>
          <w:b/>
          <w:color w:val="FF0000"/>
        </w:rPr>
        <w:t xml:space="preserve">15/16 inch </w:t>
      </w:r>
      <w:r w:rsidR="003325A0" w:rsidRPr="009D7320">
        <w:rPr>
          <w:rStyle w:val="SI"/>
          <w:b/>
        </w:rPr>
        <w:t>(</w:t>
      </w:r>
      <w:r w:rsidR="00FF1D23" w:rsidRPr="009D7320">
        <w:rPr>
          <w:rStyle w:val="SI"/>
          <w:b/>
        </w:rPr>
        <w:t>24</w:t>
      </w:r>
      <w:r w:rsidR="003325A0" w:rsidRPr="009D7320">
        <w:rPr>
          <w:rStyle w:val="SI"/>
          <w:b/>
        </w:rPr>
        <w:t xml:space="preserve"> mm)</w:t>
      </w:r>
      <w:r w:rsidR="003325A0" w:rsidRPr="009D7320">
        <w:rPr>
          <w:b/>
        </w:rPr>
        <w:t>]</w:t>
      </w:r>
    </w:p>
    <w:p w:rsidR="00E00797" w:rsidRPr="009D7320" w:rsidRDefault="006943FC" w:rsidP="00524422">
      <w:pPr>
        <w:pStyle w:val="PR2"/>
      </w:pPr>
      <w:r w:rsidRPr="009D7320">
        <w:t xml:space="preserve">Panel </w:t>
      </w:r>
      <w:r w:rsidR="00E00797" w:rsidRPr="009D7320">
        <w:t xml:space="preserve">Thickness: </w:t>
      </w:r>
      <w:r w:rsidR="004F3C3F" w:rsidRPr="009D7320">
        <w:t>[</w:t>
      </w:r>
      <w:r w:rsidR="006F58B5" w:rsidRPr="009D7320">
        <w:rPr>
          <w:rStyle w:val="IP"/>
          <w:b/>
        </w:rPr>
        <w:t>3/</w:t>
      </w:r>
      <w:r w:rsidR="008C20EA">
        <w:rPr>
          <w:rStyle w:val="IP"/>
          <w:b/>
        </w:rPr>
        <w:t>8</w:t>
      </w:r>
      <w:r w:rsidR="007C1ACA" w:rsidRPr="009D7320">
        <w:rPr>
          <w:rStyle w:val="IP"/>
          <w:b/>
        </w:rPr>
        <w:t xml:space="preserve"> inch</w:t>
      </w:r>
      <w:r w:rsidR="007C1ACA" w:rsidRPr="009D7320">
        <w:rPr>
          <w:rStyle w:val="SI"/>
          <w:b/>
        </w:rPr>
        <w:t xml:space="preserve"> (</w:t>
      </w:r>
      <w:r w:rsidR="008C20EA">
        <w:rPr>
          <w:rStyle w:val="SI"/>
          <w:b/>
        </w:rPr>
        <w:t>9.5</w:t>
      </w:r>
      <w:r w:rsidR="007C1ACA" w:rsidRPr="009D7320">
        <w:rPr>
          <w:rStyle w:val="SI"/>
          <w:b/>
        </w:rPr>
        <w:t xml:space="preserve"> mm)</w:t>
      </w:r>
      <w:r w:rsidR="006F58B5" w:rsidRPr="009D7320">
        <w:rPr>
          <w:rStyle w:val="SI"/>
          <w:b/>
          <w:color w:val="auto"/>
        </w:rPr>
        <w:t>] [</w:t>
      </w:r>
      <w:r w:rsidR="008C20EA" w:rsidRPr="008C20EA">
        <w:rPr>
          <w:rStyle w:val="SI"/>
          <w:b/>
          <w:color w:val="FF0000"/>
        </w:rPr>
        <w:t>1/2</w:t>
      </w:r>
      <w:r w:rsidR="006F58B5" w:rsidRPr="009D7320">
        <w:rPr>
          <w:rStyle w:val="IP"/>
          <w:b/>
        </w:rPr>
        <w:t xml:space="preserve"> inch</w:t>
      </w:r>
      <w:r w:rsidR="006F58B5" w:rsidRPr="009D7320">
        <w:rPr>
          <w:rStyle w:val="SI"/>
          <w:b/>
        </w:rPr>
        <w:t xml:space="preserve"> (</w:t>
      </w:r>
      <w:r w:rsidR="008C20EA">
        <w:rPr>
          <w:rStyle w:val="SI"/>
          <w:b/>
        </w:rPr>
        <w:t>12.7</w:t>
      </w:r>
      <w:r w:rsidR="006F58B5" w:rsidRPr="009D7320">
        <w:rPr>
          <w:rStyle w:val="SI"/>
          <w:b/>
        </w:rPr>
        <w:t xml:space="preserve"> mm</w:t>
      </w:r>
      <w:r w:rsidR="0041449B" w:rsidRPr="009D7320">
        <w:rPr>
          <w:rStyle w:val="SI"/>
          <w:b/>
        </w:rPr>
        <w:t>)</w:t>
      </w:r>
      <w:r w:rsidR="0041449B" w:rsidRPr="009D7320">
        <w:rPr>
          <w:rStyle w:val="SI"/>
          <w:b/>
          <w:color w:val="auto"/>
        </w:rPr>
        <w:t>]</w:t>
      </w:r>
      <w:r w:rsidR="009D7320" w:rsidRPr="009D7320">
        <w:rPr>
          <w:rStyle w:val="SI"/>
          <w:b/>
          <w:color w:val="auto"/>
        </w:rPr>
        <w:t>.</w:t>
      </w:r>
      <w:r w:rsidR="005658ED" w:rsidRPr="009D7320">
        <w:t xml:space="preserve"> </w:t>
      </w:r>
    </w:p>
    <w:p w:rsidR="009D7320" w:rsidRPr="001B0BEB" w:rsidRDefault="00E00797" w:rsidP="00524422">
      <w:pPr>
        <w:pStyle w:val="PR2"/>
      </w:pPr>
      <w:r w:rsidRPr="009D7320">
        <w:t xml:space="preserve">Modular Size: </w:t>
      </w:r>
      <w:r w:rsidR="009D7320" w:rsidRPr="009D7320">
        <w:t>[</w:t>
      </w:r>
      <w:r w:rsidR="00B96512">
        <w:rPr>
          <w:rStyle w:val="IP"/>
          <w:b/>
        </w:rPr>
        <w:t>12</w:t>
      </w:r>
      <w:r w:rsidR="009D7320" w:rsidRPr="009D7320">
        <w:rPr>
          <w:rStyle w:val="IP"/>
          <w:b/>
        </w:rPr>
        <w:t xml:space="preserve"> by </w:t>
      </w:r>
      <w:r w:rsidR="00B96512">
        <w:rPr>
          <w:rStyle w:val="IP"/>
          <w:b/>
        </w:rPr>
        <w:t>48</w:t>
      </w:r>
      <w:r w:rsidR="009D7320" w:rsidRPr="009D7320">
        <w:rPr>
          <w:rStyle w:val="IP"/>
          <w:b/>
        </w:rPr>
        <w:t xml:space="preserve"> inches</w:t>
      </w:r>
      <w:r w:rsidR="009D7320" w:rsidRPr="009D7320">
        <w:rPr>
          <w:rStyle w:val="SI"/>
          <w:b/>
        </w:rPr>
        <w:t xml:space="preserve"> (</w:t>
      </w:r>
      <w:r w:rsidR="00B96512">
        <w:rPr>
          <w:rStyle w:val="SI"/>
          <w:b/>
        </w:rPr>
        <w:t>305</w:t>
      </w:r>
      <w:r w:rsidR="009D7320" w:rsidRPr="009D7320">
        <w:rPr>
          <w:rStyle w:val="SI"/>
          <w:b/>
        </w:rPr>
        <w:t xml:space="preserve"> by 1</w:t>
      </w:r>
      <w:r w:rsidR="00B96512">
        <w:rPr>
          <w:rStyle w:val="SI"/>
          <w:b/>
        </w:rPr>
        <w:t>219</w:t>
      </w:r>
      <w:r w:rsidR="009D7320" w:rsidRPr="009D7320">
        <w:rPr>
          <w:rStyle w:val="SI"/>
          <w:b/>
        </w:rPr>
        <w:t xml:space="preserve"> mm)</w:t>
      </w:r>
      <w:r w:rsidR="009D7320" w:rsidRPr="009D7320">
        <w:t>] [</w:t>
      </w:r>
      <w:r w:rsidR="00B96512">
        <w:rPr>
          <w:rStyle w:val="IP"/>
          <w:b/>
        </w:rPr>
        <w:t>12</w:t>
      </w:r>
      <w:r w:rsidR="009D7320" w:rsidRPr="009D7320">
        <w:rPr>
          <w:rStyle w:val="IP"/>
          <w:b/>
        </w:rPr>
        <w:t xml:space="preserve"> by </w:t>
      </w:r>
      <w:r w:rsidR="00B96512">
        <w:rPr>
          <w:rStyle w:val="IP"/>
          <w:b/>
        </w:rPr>
        <w:t>60</w:t>
      </w:r>
      <w:r w:rsidR="009D7320" w:rsidRPr="009D7320">
        <w:rPr>
          <w:rStyle w:val="IP"/>
          <w:b/>
        </w:rPr>
        <w:t xml:space="preserve"> inches</w:t>
      </w:r>
      <w:r w:rsidR="009D7320" w:rsidRPr="009D7320">
        <w:rPr>
          <w:rStyle w:val="SI"/>
          <w:b/>
        </w:rPr>
        <w:t xml:space="preserve"> (</w:t>
      </w:r>
      <w:r w:rsidR="00B96512">
        <w:rPr>
          <w:rStyle w:val="SI"/>
          <w:b/>
        </w:rPr>
        <w:t>305</w:t>
      </w:r>
      <w:r w:rsidR="009D7320" w:rsidRPr="009D7320">
        <w:rPr>
          <w:rStyle w:val="SI"/>
          <w:b/>
        </w:rPr>
        <w:t xml:space="preserve"> by </w:t>
      </w:r>
      <w:r w:rsidR="00B96512">
        <w:rPr>
          <w:rStyle w:val="SI"/>
          <w:b/>
        </w:rPr>
        <w:t>1524</w:t>
      </w:r>
      <w:r w:rsidR="009D7320" w:rsidRPr="009D7320">
        <w:rPr>
          <w:rStyle w:val="SI"/>
          <w:b/>
        </w:rPr>
        <w:t xml:space="preserve"> mm)</w:t>
      </w:r>
      <w:r w:rsidR="009D7320" w:rsidRPr="009D7320">
        <w:t xml:space="preserve">] </w:t>
      </w:r>
      <w:r w:rsidR="00C60F8E" w:rsidRPr="009D7320">
        <w:t>[</w:t>
      </w:r>
      <w:r w:rsidR="00B96512">
        <w:rPr>
          <w:b/>
          <w:color w:val="FF0000"/>
        </w:rPr>
        <w:t>24</w:t>
      </w:r>
      <w:r w:rsidR="00C60F8E" w:rsidRPr="00C60F8E">
        <w:rPr>
          <w:rStyle w:val="IP"/>
          <w:b/>
        </w:rPr>
        <w:t xml:space="preserve"> </w:t>
      </w:r>
      <w:r w:rsidR="00C60F8E" w:rsidRPr="009D7320">
        <w:rPr>
          <w:rStyle w:val="IP"/>
          <w:b/>
        </w:rPr>
        <w:t xml:space="preserve">by </w:t>
      </w:r>
      <w:r w:rsidR="00B96512">
        <w:rPr>
          <w:rStyle w:val="IP"/>
          <w:b/>
        </w:rPr>
        <w:t>2</w:t>
      </w:r>
      <w:r w:rsidR="00C60F8E">
        <w:rPr>
          <w:rStyle w:val="IP"/>
          <w:b/>
        </w:rPr>
        <w:t>4</w:t>
      </w:r>
      <w:r w:rsidR="00C60F8E" w:rsidRPr="009D7320">
        <w:rPr>
          <w:rStyle w:val="IP"/>
          <w:b/>
        </w:rPr>
        <w:t xml:space="preserve"> inches</w:t>
      </w:r>
      <w:r w:rsidR="00C60F8E" w:rsidRPr="009D7320">
        <w:rPr>
          <w:rStyle w:val="SI"/>
          <w:b/>
        </w:rPr>
        <w:t xml:space="preserve"> (</w:t>
      </w:r>
      <w:r w:rsidR="00B96512">
        <w:rPr>
          <w:rStyle w:val="SI"/>
          <w:b/>
        </w:rPr>
        <w:t>610</w:t>
      </w:r>
      <w:r w:rsidR="00C60F8E" w:rsidRPr="009D7320">
        <w:rPr>
          <w:rStyle w:val="SI"/>
          <w:b/>
        </w:rPr>
        <w:t xml:space="preserve"> by </w:t>
      </w:r>
      <w:r w:rsidR="00B96512">
        <w:rPr>
          <w:rStyle w:val="SI"/>
          <w:b/>
        </w:rPr>
        <w:t>610</w:t>
      </w:r>
      <w:r w:rsidR="00C60F8E" w:rsidRPr="009D7320">
        <w:rPr>
          <w:rStyle w:val="SI"/>
          <w:b/>
        </w:rPr>
        <w:t xml:space="preserve"> mm)</w:t>
      </w:r>
      <w:r w:rsidR="00C60F8E" w:rsidRPr="009D7320">
        <w:t>]</w:t>
      </w:r>
      <w:r w:rsidR="00C60F8E">
        <w:t xml:space="preserve"> </w:t>
      </w:r>
      <w:r w:rsidR="00C60F8E" w:rsidRPr="009D7320">
        <w:t>[</w:t>
      </w:r>
      <w:r w:rsidR="00B96512">
        <w:rPr>
          <w:b/>
          <w:color w:val="FF0000"/>
        </w:rPr>
        <w:t>24</w:t>
      </w:r>
      <w:r w:rsidR="00C60F8E" w:rsidRPr="00C60F8E">
        <w:rPr>
          <w:rStyle w:val="IP"/>
          <w:b/>
        </w:rPr>
        <w:t xml:space="preserve"> </w:t>
      </w:r>
      <w:r w:rsidR="00C60F8E" w:rsidRPr="009D7320">
        <w:rPr>
          <w:rStyle w:val="IP"/>
          <w:b/>
        </w:rPr>
        <w:t xml:space="preserve">by </w:t>
      </w:r>
      <w:r w:rsidR="00B96512">
        <w:rPr>
          <w:rStyle w:val="IP"/>
          <w:b/>
        </w:rPr>
        <w:t>48</w:t>
      </w:r>
      <w:r w:rsidR="00C60F8E" w:rsidRPr="009D7320">
        <w:rPr>
          <w:rStyle w:val="IP"/>
          <w:b/>
        </w:rPr>
        <w:t xml:space="preserve"> inches</w:t>
      </w:r>
      <w:r w:rsidR="00C60F8E" w:rsidRPr="009D7320">
        <w:rPr>
          <w:rStyle w:val="SI"/>
          <w:b/>
        </w:rPr>
        <w:t xml:space="preserve"> (</w:t>
      </w:r>
      <w:r w:rsidR="00B96512">
        <w:rPr>
          <w:rStyle w:val="SI"/>
          <w:b/>
        </w:rPr>
        <w:t>610</w:t>
      </w:r>
      <w:r w:rsidR="00C60F8E" w:rsidRPr="009D7320">
        <w:rPr>
          <w:rStyle w:val="SI"/>
          <w:b/>
        </w:rPr>
        <w:t xml:space="preserve"> by </w:t>
      </w:r>
      <w:r w:rsidR="00B96512">
        <w:rPr>
          <w:rStyle w:val="SI"/>
          <w:b/>
        </w:rPr>
        <w:t>1219</w:t>
      </w:r>
      <w:r w:rsidR="00C60F8E" w:rsidRPr="009D7320">
        <w:rPr>
          <w:rStyle w:val="SI"/>
          <w:b/>
        </w:rPr>
        <w:t xml:space="preserve"> mm)</w:t>
      </w:r>
      <w:r w:rsidR="00C60F8E" w:rsidRPr="009D7320">
        <w:t xml:space="preserve">] </w:t>
      </w:r>
      <w:r w:rsidR="00B96512" w:rsidRPr="009D7320">
        <w:t>[</w:t>
      </w:r>
      <w:r w:rsidR="00B96512" w:rsidRPr="009D7320">
        <w:rPr>
          <w:rStyle w:val="IP"/>
          <w:b/>
        </w:rPr>
        <w:t xml:space="preserve">24 by </w:t>
      </w:r>
      <w:r w:rsidR="00BA2E88">
        <w:rPr>
          <w:rStyle w:val="IP"/>
          <w:b/>
        </w:rPr>
        <w:t>60</w:t>
      </w:r>
      <w:r w:rsidR="00B96512" w:rsidRPr="009D7320">
        <w:rPr>
          <w:rStyle w:val="IP"/>
          <w:b/>
        </w:rPr>
        <w:t xml:space="preserve"> inches</w:t>
      </w:r>
      <w:r w:rsidR="00B96512" w:rsidRPr="009D7320">
        <w:rPr>
          <w:rStyle w:val="SI"/>
          <w:b/>
        </w:rPr>
        <w:t xml:space="preserve"> (610 by </w:t>
      </w:r>
      <w:r w:rsidR="00BA2E88">
        <w:rPr>
          <w:rStyle w:val="SI"/>
          <w:b/>
        </w:rPr>
        <w:t>1829</w:t>
      </w:r>
      <w:r w:rsidR="00B96512" w:rsidRPr="009D7320">
        <w:rPr>
          <w:rStyle w:val="SI"/>
          <w:b/>
        </w:rPr>
        <w:t xml:space="preserve"> mm)</w:t>
      </w:r>
      <w:r w:rsidR="00B96512" w:rsidRPr="009D7320">
        <w:t>] [</w:t>
      </w:r>
      <w:r w:rsidR="00B96512" w:rsidRPr="009D7320">
        <w:rPr>
          <w:rStyle w:val="IP"/>
          <w:b/>
        </w:rPr>
        <w:t>24 by 72 inches</w:t>
      </w:r>
      <w:r w:rsidR="00B96512" w:rsidRPr="009D7320">
        <w:rPr>
          <w:rStyle w:val="SI"/>
          <w:b/>
        </w:rPr>
        <w:t xml:space="preserve"> (610 by </w:t>
      </w:r>
      <w:r w:rsidR="00BA2E88">
        <w:rPr>
          <w:rStyle w:val="SI"/>
          <w:b/>
        </w:rPr>
        <w:t>2438</w:t>
      </w:r>
      <w:r w:rsidR="00B96512" w:rsidRPr="009D7320">
        <w:rPr>
          <w:rStyle w:val="SI"/>
          <w:b/>
        </w:rPr>
        <w:t xml:space="preserve"> mm)</w:t>
      </w:r>
      <w:r w:rsidR="00B96512" w:rsidRPr="009D7320">
        <w:t>] [</w:t>
      </w:r>
      <w:r w:rsidR="00B96512" w:rsidRPr="009D7320">
        <w:rPr>
          <w:rStyle w:val="IP"/>
          <w:b/>
        </w:rPr>
        <w:t>4</w:t>
      </w:r>
      <w:r w:rsidR="00BA2E88">
        <w:rPr>
          <w:rStyle w:val="IP"/>
          <w:b/>
        </w:rPr>
        <w:t>8</w:t>
      </w:r>
      <w:r w:rsidR="00B96512" w:rsidRPr="009D7320">
        <w:rPr>
          <w:rStyle w:val="IP"/>
          <w:b/>
        </w:rPr>
        <w:t xml:space="preserve"> by </w:t>
      </w:r>
      <w:r w:rsidR="00BA2E88">
        <w:rPr>
          <w:rStyle w:val="IP"/>
          <w:b/>
        </w:rPr>
        <w:t>48</w:t>
      </w:r>
      <w:r w:rsidR="00B96512" w:rsidRPr="009D7320">
        <w:rPr>
          <w:rStyle w:val="IP"/>
          <w:b/>
        </w:rPr>
        <w:t xml:space="preserve"> inches</w:t>
      </w:r>
      <w:r w:rsidR="00B96512" w:rsidRPr="009D7320">
        <w:rPr>
          <w:rStyle w:val="SI"/>
          <w:b/>
        </w:rPr>
        <w:t xml:space="preserve"> (</w:t>
      </w:r>
      <w:r w:rsidR="00BA2E88">
        <w:rPr>
          <w:rStyle w:val="SI"/>
          <w:b/>
        </w:rPr>
        <w:t>1219</w:t>
      </w:r>
      <w:r w:rsidR="00B96512" w:rsidRPr="009D7320">
        <w:rPr>
          <w:rStyle w:val="SI"/>
          <w:b/>
        </w:rPr>
        <w:t xml:space="preserve"> by </w:t>
      </w:r>
      <w:r w:rsidR="00BA2E88">
        <w:rPr>
          <w:rStyle w:val="SI"/>
          <w:b/>
        </w:rPr>
        <w:t>1219</w:t>
      </w:r>
      <w:r w:rsidR="00B96512" w:rsidRPr="009D7320">
        <w:rPr>
          <w:rStyle w:val="SI"/>
          <w:b/>
        </w:rPr>
        <w:t xml:space="preserve"> mm)</w:t>
      </w:r>
      <w:r w:rsidR="00B96512" w:rsidRPr="009D7320">
        <w:t>] [</w:t>
      </w:r>
      <w:r w:rsidR="00B96512" w:rsidRPr="009D7320">
        <w:rPr>
          <w:rStyle w:val="IP"/>
          <w:b/>
        </w:rPr>
        <w:t>2</w:t>
      </w:r>
      <w:r w:rsidR="00BA2E88">
        <w:rPr>
          <w:rStyle w:val="IP"/>
          <w:b/>
        </w:rPr>
        <w:t>0</w:t>
      </w:r>
      <w:r w:rsidR="00B96512" w:rsidRPr="009D7320">
        <w:rPr>
          <w:rStyle w:val="IP"/>
          <w:b/>
        </w:rPr>
        <w:t xml:space="preserve"> by </w:t>
      </w:r>
      <w:r w:rsidR="00BA2E88">
        <w:rPr>
          <w:rStyle w:val="IP"/>
          <w:b/>
        </w:rPr>
        <w:t>60</w:t>
      </w:r>
      <w:r w:rsidR="00B96512" w:rsidRPr="009D7320">
        <w:rPr>
          <w:rStyle w:val="IP"/>
          <w:b/>
        </w:rPr>
        <w:t xml:space="preserve"> inches</w:t>
      </w:r>
      <w:r w:rsidR="00B96512" w:rsidRPr="009D7320">
        <w:rPr>
          <w:rStyle w:val="SI"/>
          <w:b/>
        </w:rPr>
        <w:t xml:space="preserve"> (</w:t>
      </w:r>
      <w:r w:rsidR="00BA2E88">
        <w:rPr>
          <w:rStyle w:val="SI"/>
          <w:b/>
        </w:rPr>
        <w:t>508</w:t>
      </w:r>
      <w:r w:rsidR="00B96512" w:rsidRPr="009D7320">
        <w:rPr>
          <w:rStyle w:val="SI"/>
          <w:b/>
        </w:rPr>
        <w:t xml:space="preserve"> by 1</w:t>
      </w:r>
      <w:r w:rsidR="00BA2E88">
        <w:rPr>
          <w:rStyle w:val="SI"/>
          <w:b/>
        </w:rPr>
        <w:t>524</w:t>
      </w:r>
      <w:r w:rsidR="00B96512" w:rsidRPr="009D7320">
        <w:rPr>
          <w:rStyle w:val="SI"/>
          <w:b/>
        </w:rPr>
        <w:t xml:space="preserve"> mm)</w:t>
      </w:r>
      <w:r w:rsidR="00B96512" w:rsidRPr="009D7320">
        <w:t>] [</w:t>
      </w:r>
      <w:r w:rsidR="00BA2E88">
        <w:rPr>
          <w:rStyle w:val="IP"/>
          <w:b/>
        </w:rPr>
        <w:t>30</w:t>
      </w:r>
      <w:r w:rsidR="00B96512" w:rsidRPr="009D7320">
        <w:rPr>
          <w:rStyle w:val="IP"/>
          <w:b/>
        </w:rPr>
        <w:t xml:space="preserve"> by </w:t>
      </w:r>
      <w:r w:rsidR="00BA2E88">
        <w:rPr>
          <w:rStyle w:val="IP"/>
          <w:b/>
        </w:rPr>
        <w:t>30</w:t>
      </w:r>
      <w:r w:rsidR="00B96512" w:rsidRPr="009D7320">
        <w:rPr>
          <w:rStyle w:val="IP"/>
          <w:b/>
        </w:rPr>
        <w:t xml:space="preserve"> inches</w:t>
      </w:r>
      <w:r w:rsidR="00B96512" w:rsidRPr="009D7320">
        <w:rPr>
          <w:rStyle w:val="SI"/>
          <w:b/>
        </w:rPr>
        <w:t xml:space="preserve"> (</w:t>
      </w:r>
      <w:r w:rsidR="00BA2E88">
        <w:rPr>
          <w:rStyle w:val="SI"/>
          <w:b/>
        </w:rPr>
        <w:t>762</w:t>
      </w:r>
      <w:r w:rsidR="00B96512" w:rsidRPr="009D7320">
        <w:rPr>
          <w:rStyle w:val="SI"/>
          <w:b/>
        </w:rPr>
        <w:t xml:space="preserve"> by </w:t>
      </w:r>
      <w:r w:rsidR="00BA2E88">
        <w:rPr>
          <w:rStyle w:val="SI"/>
          <w:b/>
        </w:rPr>
        <w:t>762</w:t>
      </w:r>
      <w:r w:rsidR="00B96512" w:rsidRPr="009D7320">
        <w:rPr>
          <w:rStyle w:val="SI"/>
          <w:b/>
        </w:rPr>
        <w:t xml:space="preserve"> mm)</w:t>
      </w:r>
      <w:r w:rsidR="00B96512" w:rsidRPr="009D7320">
        <w:t>] [</w:t>
      </w:r>
      <w:r w:rsidR="00BA2E88">
        <w:rPr>
          <w:rStyle w:val="IP"/>
          <w:b/>
        </w:rPr>
        <w:t>30</w:t>
      </w:r>
      <w:r w:rsidR="00B96512" w:rsidRPr="009D7320">
        <w:rPr>
          <w:rStyle w:val="IP"/>
          <w:b/>
        </w:rPr>
        <w:t xml:space="preserve"> by </w:t>
      </w:r>
      <w:r w:rsidR="00BA2E88">
        <w:rPr>
          <w:rStyle w:val="IP"/>
          <w:b/>
        </w:rPr>
        <w:t>60</w:t>
      </w:r>
      <w:r w:rsidR="00B96512" w:rsidRPr="009D7320">
        <w:rPr>
          <w:rStyle w:val="IP"/>
          <w:b/>
        </w:rPr>
        <w:t xml:space="preserve"> inches</w:t>
      </w:r>
      <w:r w:rsidR="00B96512" w:rsidRPr="009D7320">
        <w:rPr>
          <w:rStyle w:val="SI"/>
          <w:b/>
        </w:rPr>
        <w:t xml:space="preserve"> (</w:t>
      </w:r>
      <w:r w:rsidR="00BA2E88">
        <w:rPr>
          <w:rStyle w:val="SI"/>
          <w:b/>
        </w:rPr>
        <w:t>762</w:t>
      </w:r>
      <w:r w:rsidR="00B96512" w:rsidRPr="009D7320">
        <w:rPr>
          <w:rStyle w:val="SI"/>
          <w:b/>
        </w:rPr>
        <w:t xml:space="preserve"> by </w:t>
      </w:r>
      <w:r w:rsidR="00BA2E88">
        <w:rPr>
          <w:rStyle w:val="SI"/>
          <w:b/>
        </w:rPr>
        <w:t>1524</w:t>
      </w:r>
      <w:r w:rsidR="00B96512" w:rsidRPr="009D7320">
        <w:rPr>
          <w:rStyle w:val="SI"/>
          <w:b/>
        </w:rPr>
        <w:t xml:space="preserve"> mm)</w:t>
      </w:r>
      <w:r w:rsidR="00B96512" w:rsidRPr="009D7320">
        <w:t>]</w:t>
      </w:r>
      <w:r w:rsidR="009D7320" w:rsidRPr="009D7320">
        <w:t xml:space="preserve"> [As indicated on Drawings] [As indicated in a </w:t>
      </w:r>
      <w:r w:rsidR="009D7320" w:rsidRPr="001B0BEB">
        <w:t>schedule].</w:t>
      </w:r>
    </w:p>
    <w:p w:rsidR="00524422" w:rsidRPr="001B0BEB" w:rsidRDefault="00524422" w:rsidP="00524422">
      <w:pPr>
        <w:pStyle w:val="PR2"/>
      </w:pPr>
      <w:r w:rsidRPr="001B0BEB">
        <w:t xml:space="preserve">Recycled Content: </w:t>
      </w:r>
      <w:r w:rsidR="0041449B" w:rsidRPr="001B0BEB">
        <w:t>[</w:t>
      </w:r>
      <w:r w:rsidR="007F4C35" w:rsidRPr="001B0BEB">
        <w:t>insert project requirements here %</w:t>
      </w:r>
      <w:r w:rsidR="006B74D0" w:rsidRPr="001B0BEB">
        <w:t>].</w:t>
      </w:r>
    </w:p>
    <w:p w:rsidR="009D7320" w:rsidRPr="001B0BEB" w:rsidRDefault="009D7320" w:rsidP="009D7320">
      <w:pPr>
        <w:pStyle w:val="PR2"/>
      </w:pPr>
      <w:r w:rsidRPr="001B0BEB">
        <w:t>Required accessories: Stabilizer bars for all panels longer than 5’-0” (1524 mm)</w:t>
      </w:r>
      <w:r w:rsidR="001B0BEB" w:rsidRPr="001B0BEB">
        <w:t>.</w:t>
      </w:r>
    </w:p>
    <w:p w:rsidR="00E00797" w:rsidRDefault="00B945E8" w:rsidP="004F3C3F">
      <w:pPr>
        <w:pStyle w:val="PR2"/>
      </w:pPr>
      <w:r w:rsidRPr="001B0BEB">
        <w:t>Panel Warranty: 30-year lifetime</w:t>
      </w:r>
      <w:r w:rsidRPr="009D7320">
        <w:t xml:space="preserve"> system warranty against visible sag, mold and mildew.</w:t>
      </w:r>
    </w:p>
    <w:sectPr w:rsidR="00E00797" w:rsidSect="00B5428F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45" w:rsidRDefault="006E4845">
      <w:r>
        <w:separator/>
      </w:r>
    </w:p>
  </w:endnote>
  <w:endnote w:type="continuationSeparator" w:id="0">
    <w:p w:rsidR="006E4845" w:rsidRDefault="006E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L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65" w:type="dxa"/>
        <w:right w:w="65" w:type="dxa"/>
      </w:tblCellMar>
      <w:tblLook w:val="0000" w:firstRow="0" w:lastRow="0" w:firstColumn="0" w:lastColumn="0" w:noHBand="0" w:noVBand="0"/>
    </w:tblPr>
    <w:tblGrid>
      <w:gridCol w:w="7632"/>
      <w:gridCol w:w="1872"/>
    </w:tblGrid>
    <w:tr w:rsidR="0081031E">
      <w:tc>
        <w:tcPr>
          <w:tcW w:w="7632" w:type="dxa"/>
        </w:tcPr>
        <w:p w:rsidR="0081031E" w:rsidRPr="001B0BEB" w:rsidRDefault="0081031E">
          <w:pPr>
            <w:pStyle w:val="FTR"/>
          </w:pPr>
          <w:r w:rsidRPr="001B0BEB">
            <w:rPr>
              <w:rStyle w:val="NAM"/>
            </w:rPr>
            <w:t>CEILING TILE SPECIFICATION</w:t>
          </w:r>
        </w:p>
      </w:tc>
      <w:tc>
        <w:tcPr>
          <w:tcW w:w="1872" w:type="dxa"/>
        </w:tcPr>
        <w:p w:rsidR="0081031E" w:rsidRDefault="0081031E">
          <w:pPr>
            <w:pStyle w:val="RJUST"/>
          </w:pPr>
          <w:r>
            <w:rPr>
              <w:rStyle w:val="NUM"/>
            </w:rPr>
            <w:t>095123</w:t>
          </w:r>
          <w:r>
            <w:t xml:space="preserve"> - </w:t>
          </w:r>
          <w:r w:rsidR="00004C3C">
            <w:fldChar w:fldCharType="begin"/>
          </w:r>
          <w:r w:rsidR="00004C3C">
            <w:instrText xml:space="preserve"> PAGE </w:instrText>
          </w:r>
          <w:r w:rsidR="00004C3C">
            <w:fldChar w:fldCharType="separate"/>
          </w:r>
          <w:r w:rsidR="002F57E1">
            <w:rPr>
              <w:noProof/>
            </w:rPr>
            <w:t>1</w:t>
          </w:r>
          <w:r w:rsidR="00004C3C"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45" w:rsidRDefault="006E4845">
      <w:r>
        <w:separator/>
      </w:r>
    </w:p>
  </w:footnote>
  <w:footnote w:type="continuationSeparator" w:id="0">
    <w:p w:rsidR="006E4845" w:rsidRDefault="006E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31E" w:rsidRPr="004F3C3F" w:rsidRDefault="0081031E" w:rsidP="004F3C3F">
    <w:pPr>
      <w:pStyle w:val="HDR"/>
    </w:pPr>
    <w:r>
      <w:rPr>
        <w:rStyle w:val="CPR"/>
      </w:rPr>
      <w:t>Copyright 201</w:t>
    </w:r>
    <w:r w:rsidR="001B0BEB">
      <w:rPr>
        <w:rStyle w:val="CPR"/>
      </w:rPr>
      <w:t>7</w:t>
    </w:r>
    <w:r>
      <w:rPr>
        <w:rStyle w:val="CPR"/>
      </w:rPr>
      <w:t xml:space="preserve"> USG</w:t>
    </w:r>
    <w:r>
      <w:tab/>
    </w:r>
    <w:r>
      <w:rPr>
        <w:rStyle w:val="SPD"/>
      </w:rPr>
      <w:t>0</w:t>
    </w:r>
    <w:r w:rsidR="001B0BEB">
      <w:rPr>
        <w:rStyle w:val="SPD"/>
      </w:rPr>
      <w:t>2</w:t>
    </w:r>
    <w:r>
      <w:rPr>
        <w:rStyle w:val="SPD"/>
      </w:rPr>
      <w:t>/15</w:t>
    </w:r>
    <w:r w:rsidR="001B0BEB">
      <w:rPr>
        <w:rStyle w:val="SPD"/>
      </w:rPr>
      <w:t>/2017</w:t>
    </w:r>
    <w:r w:rsidR="001B0BEB">
      <w:rPr>
        <w:rStyle w:val="SPD"/>
      </w:rPr>
      <w:tab/>
    </w:r>
    <w:r w:rsidR="001B0BEB" w:rsidRPr="00283630">
      <w:rPr>
        <w:rStyle w:val="SPD"/>
        <w:noProof/>
      </w:rPr>
      <w:drawing>
        <wp:inline distT="0" distB="0" distL="0" distR="0" wp14:anchorId="7F0F1913" wp14:editId="0141E80A">
          <wp:extent cx="1009650" cy="269769"/>
          <wp:effectExtent l="19050" t="0" r="0" b="0"/>
          <wp:docPr id="2" name="Picture 1" descr="C:\Users\mkemerling\AppData\Local\Microsoft\Windows\Temporary Internet Files\Content.Outlook\V9KMVQVV\USG-CGC_EN-FR_primary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emerling\AppData\Local\Microsoft\Windows\Temporary Internet Files\Content.Outlook\V9KMVQVV\USG-CGC_EN-FR_primary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697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53820A8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3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>
    <w:nsid w:val="61513C33"/>
    <w:multiLevelType w:val="hybridMultilevel"/>
    <w:tmpl w:val="180E1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3895E8">
      <w:numFmt w:val="bullet"/>
      <w:lvlText w:val="–"/>
      <w:lvlJc w:val="left"/>
      <w:pPr>
        <w:ind w:left="1080" w:hanging="360"/>
      </w:pPr>
      <w:rPr>
        <w:rFonts w:ascii="HelveticaNeueLTStd-LtCn" w:eastAsia="Times New Roman" w:hAnsi="HelveticaNeueLTStd-LtCn" w:cs="HelveticaNeueLTStd-LtC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docVars>
    <w:docVar w:name="DOI" w:val="06/01/13"/>
    <w:docVar w:name="Format" w:val="1"/>
    <w:docVar w:name="MF04" w:val="095123"/>
    <w:docVar w:name="MF95" w:val="09512"/>
    <w:docVar w:name="SectionID" w:val="271"/>
    <w:docVar w:name="SpecType" w:val="MasterSpec"/>
    <w:docVar w:name="Version" w:val="9846"/>
  </w:docVars>
  <w:rsids>
    <w:rsidRoot w:val="00750288"/>
    <w:rsid w:val="00004C3C"/>
    <w:rsid w:val="00015CE0"/>
    <w:rsid w:val="00052EBF"/>
    <w:rsid w:val="00096FC4"/>
    <w:rsid w:val="00102174"/>
    <w:rsid w:val="0016350C"/>
    <w:rsid w:val="00171859"/>
    <w:rsid w:val="00174AF9"/>
    <w:rsid w:val="001B0BEB"/>
    <w:rsid w:val="001F39C1"/>
    <w:rsid w:val="001F4A7D"/>
    <w:rsid w:val="002051C7"/>
    <w:rsid w:val="002127CB"/>
    <w:rsid w:val="00230D5D"/>
    <w:rsid w:val="002847F4"/>
    <w:rsid w:val="0029103D"/>
    <w:rsid w:val="002F57E1"/>
    <w:rsid w:val="003325A0"/>
    <w:rsid w:val="00356697"/>
    <w:rsid w:val="0039122F"/>
    <w:rsid w:val="003D2067"/>
    <w:rsid w:val="003D29EA"/>
    <w:rsid w:val="003D54DA"/>
    <w:rsid w:val="004025D2"/>
    <w:rsid w:val="0041449B"/>
    <w:rsid w:val="004171A1"/>
    <w:rsid w:val="00463CE8"/>
    <w:rsid w:val="0048740D"/>
    <w:rsid w:val="004F3C3F"/>
    <w:rsid w:val="0050272C"/>
    <w:rsid w:val="00524325"/>
    <w:rsid w:val="00524422"/>
    <w:rsid w:val="00555EAB"/>
    <w:rsid w:val="00557807"/>
    <w:rsid w:val="005658ED"/>
    <w:rsid w:val="00572F62"/>
    <w:rsid w:val="005A01E5"/>
    <w:rsid w:val="005C13F8"/>
    <w:rsid w:val="00606ADE"/>
    <w:rsid w:val="00610A0B"/>
    <w:rsid w:val="00675130"/>
    <w:rsid w:val="006943FC"/>
    <w:rsid w:val="006B74D0"/>
    <w:rsid w:val="006E4845"/>
    <w:rsid w:val="006F58B5"/>
    <w:rsid w:val="0073270C"/>
    <w:rsid w:val="00750288"/>
    <w:rsid w:val="007C1ACA"/>
    <w:rsid w:val="007F4C35"/>
    <w:rsid w:val="0081031E"/>
    <w:rsid w:val="008139DF"/>
    <w:rsid w:val="008754EE"/>
    <w:rsid w:val="008C20EA"/>
    <w:rsid w:val="008D3631"/>
    <w:rsid w:val="00901BF1"/>
    <w:rsid w:val="00905C24"/>
    <w:rsid w:val="009966CB"/>
    <w:rsid w:val="009C7D03"/>
    <w:rsid w:val="009D7320"/>
    <w:rsid w:val="00A1740C"/>
    <w:rsid w:val="00A50852"/>
    <w:rsid w:val="00AA00DD"/>
    <w:rsid w:val="00AF4FC6"/>
    <w:rsid w:val="00AF521D"/>
    <w:rsid w:val="00B5428F"/>
    <w:rsid w:val="00B83DB7"/>
    <w:rsid w:val="00B9268A"/>
    <w:rsid w:val="00B945E8"/>
    <w:rsid w:val="00B96512"/>
    <w:rsid w:val="00BA2E88"/>
    <w:rsid w:val="00BE315D"/>
    <w:rsid w:val="00BF47BA"/>
    <w:rsid w:val="00C03834"/>
    <w:rsid w:val="00C37975"/>
    <w:rsid w:val="00C60F8E"/>
    <w:rsid w:val="00C83A6B"/>
    <w:rsid w:val="00CF4264"/>
    <w:rsid w:val="00D61E0C"/>
    <w:rsid w:val="00D82422"/>
    <w:rsid w:val="00E00797"/>
    <w:rsid w:val="00E22A99"/>
    <w:rsid w:val="00E27925"/>
    <w:rsid w:val="00EE3BD5"/>
    <w:rsid w:val="00EF54FB"/>
    <w:rsid w:val="00EF5B63"/>
    <w:rsid w:val="00FD1F3D"/>
    <w:rsid w:val="00FF1D23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5C1162-A9F5-44A0-A318-8C06ADDD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8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5428F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5428F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5428F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5428F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5428F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5428F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5428F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5428F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B5428F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B5428F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B5428F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B5428F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5428F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5428F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5428F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5428F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5428F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5428F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5428F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5428F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5428F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5428F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5428F"/>
    <w:pPr>
      <w:suppressAutoHyphens/>
    </w:pPr>
  </w:style>
  <w:style w:type="paragraph" w:customStyle="1" w:styleId="TCE">
    <w:name w:val="TCE"/>
    <w:basedOn w:val="Normal"/>
    <w:rsid w:val="00B5428F"/>
    <w:pPr>
      <w:suppressAutoHyphens/>
      <w:ind w:left="144" w:hanging="144"/>
    </w:pPr>
  </w:style>
  <w:style w:type="paragraph" w:customStyle="1" w:styleId="EOS">
    <w:name w:val="EOS"/>
    <w:basedOn w:val="Normal"/>
    <w:rsid w:val="00B5428F"/>
    <w:pPr>
      <w:suppressAutoHyphens/>
      <w:spacing w:before="480"/>
      <w:jc w:val="both"/>
    </w:pPr>
  </w:style>
  <w:style w:type="paragraph" w:customStyle="1" w:styleId="ANT">
    <w:name w:val="ANT"/>
    <w:basedOn w:val="Normal"/>
    <w:rsid w:val="00B5428F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B5428F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5428F"/>
  </w:style>
  <w:style w:type="character" w:customStyle="1" w:styleId="SPN">
    <w:name w:val="SPN"/>
    <w:basedOn w:val="DefaultParagraphFont"/>
    <w:rsid w:val="00B5428F"/>
  </w:style>
  <w:style w:type="character" w:customStyle="1" w:styleId="SPD">
    <w:name w:val="SPD"/>
    <w:basedOn w:val="DefaultParagraphFont"/>
    <w:rsid w:val="00B5428F"/>
  </w:style>
  <w:style w:type="character" w:customStyle="1" w:styleId="NUM">
    <w:name w:val="NUM"/>
    <w:basedOn w:val="DefaultParagraphFont"/>
    <w:rsid w:val="00B5428F"/>
  </w:style>
  <w:style w:type="character" w:customStyle="1" w:styleId="NAM">
    <w:name w:val="NAM"/>
    <w:basedOn w:val="DefaultParagraphFont"/>
    <w:rsid w:val="00B5428F"/>
  </w:style>
  <w:style w:type="character" w:customStyle="1" w:styleId="SI">
    <w:name w:val="SI"/>
    <w:rsid w:val="00B5428F"/>
    <w:rPr>
      <w:color w:val="008080"/>
    </w:rPr>
  </w:style>
  <w:style w:type="character" w:customStyle="1" w:styleId="IP">
    <w:name w:val="IP"/>
    <w:rsid w:val="00B5428F"/>
    <w:rPr>
      <w:color w:val="FF0000"/>
    </w:rPr>
  </w:style>
  <w:style w:type="paragraph" w:customStyle="1" w:styleId="RJUST">
    <w:name w:val="RJUST"/>
    <w:basedOn w:val="Normal"/>
    <w:rsid w:val="00B5428F"/>
    <w:pPr>
      <w:jc w:val="right"/>
    </w:pPr>
  </w:style>
  <w:style w:type="character" w:customStyle="1" w:styleId="SAhyperlink">
    <w:name w:val="SAhyperlink"/>
    <w:uiPriority w:val="1"/>
    <w:qFormat/>
    <w:rsid w:val="00750288"/>
    <w:rPr>
      <w:color w:val="E36C0A"/>
      <w:u w:val="single"/>
    </w:rPr>
  </w:style>
  <w:style w:type="character" w:styleId="Hyperlink">
    <w:name w:val="Hyperlink"/>
    <w:uiPriority w:val="99"/>
    <w:unhideWhenUsed/>
    <w:rsid w:val="007502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EBF"/>
  </w:style>
  <w:style w:type="paragraph" w:styleId="Footer">
    <w:name w:val="footer"/>
    <w:basedOn w:val="Normal"/>
    <w:link w:val="FooterChar"/>
    <w:uiPriority w:val="99"/>
    <w:unhideWhenUsed/>
    <w:rsid w:val="00052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EBF"/>
  </w:style>
  <w:style w:type="paragraph" w:customStyle="1" w:styleId="TIP">
    <w:name w:val="TIP"/>
    <w:basedOn w:val="Normal"/>
    <w:link w:val="TIPChar"/>
    <w:rsid w:val="008139D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8139DF"/>
    <w:rPr>
      <w:vanish/>
      <w:color w:val="0000FF"/>
    </w:rPr>
  </w:style>
  <w:style w:type="character" w:customStyle="1" w:styleId="TIPChar">
    <w:name w:val="TIP Char"/>
    <w:link w:val="TIP"/>
    <w:rsid w:val="008139DF"/>
    <w:rPr>
      <w:vanish w:val="0"/>
      <w:color w:val="B30838"/>
    </w:rPr>
  </w:style>
  <w:style w:type="paragraph" w:styleId="NoSpacing">
    <w:name w:val="No Spacing"/>
    <w:uiPriority w:val="1"/>
    <w:qFormat/>
    <w:rsid w:val="0029103D"/>
    <w:rPr>
      <w:sz w:val="22"/>
    </w:rPr>
  </w:style>
  <w:style w:type="paragraph" w:styleId="ListParagraph">
    <w:name w:val="List Paragraph"/>
    <w:basedOn w:val="Normal"/>
    <w:uiPriority w:val="34"/>
    <w:qFormat/>
    <w:rsid w:val="0029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095123 USG Panz™ Metal Tile Ceilings Architectural Specification (English)</vt:lpstr>
    </vt:vector>
  </TitlesOfParts>
  <Company>USG Corporation</Company>
  <LinksUpToDate>false</LinksUpToDate>
  <CharactersWithSpaces>2458</CharactersWithSpaces>
  <SharedDoc>false</SharedDoc>
  <HLinks>
    <vt:vector size="30" baseType="variant">
      <vt:variant>
        <vt:i4>7536740</vt:i4>
      </vt:variant>
      <vt:variant>
        <vt:i4>12</vt:i4>
      </vt:variant>
      <vt:variant>
        <vt:i4>0</vt:i4>
      </vt:variant>
      <vt:variant>
        <vt:i4>5</vt:i4>
      </vt:variant>
      <vt:variant>
        <vt:lpwstr>http://www.specagent.com/LookUp/?ulid=353&amp;mf=04&amp;src=wd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http://www.specagent.com/LookUp/?ulid=352&amp;mf=04&amp;src=wd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http://www.specagent.com/LookUp/?ulid=351&amp;mf=04&amp;src=wd</vt:lpwstr>
      </vt:variant>
      <vt:variant>
        <vt:lpwstr/>
      </vt:variant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http://www.specagent.com/LookUp/?ulid=350&amp;mf=04&amp;src=wd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http://www.specagent.com/LookUp/?ulid=349&amp;mf=04&amp;src=wd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095123 USG Panz™ Metal Tile Ceilings Architectural Specification (English)</dc:title>
  <dc:subject>Section 095123 USG Panz™ Metal Tile Ceilings Architectural Specification (English)</dc:subject>
  <dc:creator/>
  <cp:keywords>Panz</cp:keywords>
  <cp:lastModifiedBy>Johns, Tina</cp:lastModifiedBy>
  <cp:revision>10</cp:revision>
  <cp:lastPrinted>2015-02-25T20:16:00Z</cp:lastPrinted>
  <dcterms:created xsi:type="dcterms:W3CDTF">2015-03-13T12:16:00Z</dcterms:created>
  <dcterms:modified xsi:type="dcterms:W3CDTF">2017-02-17T20:06:00Z</dcterms:modified>
</cp:coreProperties>
</file>