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797" w:rsidRDefault="00E00797" w:rsidP="00FC76DB">
      <w:pPr>
        <w:pStyle w:val="SCT"/>
        <w:rPr>
          <w:rStyle w:val="NAM"/>
        </w:rPr>
      </w:pPr>
      <w:bookmarkStart w:id="0" w:name="_GoBack"/>
      <w:bookmarkEnd w:id="0"/>
      <w:r>
        <w:t xml:space="preserve">SECTION </w:t>
      </w:r>
      <w:r>
        <w:rPr>
          <w:rStyle w:val="NUM"/>
        </w:rPr>
        <w:t>095123</w:t>
      </w:r>
      <w:r>
        <w:t xml:space="preserve"> </w:t>
      </w:r>
      <w:r w:rsidR="00675130">
        <w:t>–</w:t>
      </w:r>
      <w:r>
        <w:t xml:space="preserve"> </w:t>
      </w:r>
      <w:r w:rsidR="00675130">
        <w:t xml:space="preserve">USG </w:t>
      </w:r>
      <w:r w:rsidR="00086E45">
        <w:t>SHEETROCK</w:t>
      </w:r>
      <w:r w:rsidR="00FC76DB">
        <w:t>® BRAND</w:t>
      </w:r>
      <w:r w:rsidR="00086E45">
        <w:t xml:space="preserve"> LAY-IN </w:t>
      </w:r>
      <w:r>
        <w:rPr>
          <w:rStyle w:val="NAM"/>
        </w:rPr>
        <w:t>ACOUSTICAL TILE CEILINGS</w:t>
      </w:r>
    </w:p>
    <w:p w:rsidR="00C82650" w:rsidRPr="003F0F01" w:rsidRDefault="00C82650" w:rsidP="00FC76DB">
      <w:pPr>
        <w:pStyle w:val="PRT"/>
        <w:numPr>
          <w:ilvl w:val="0"/>
          <w:numId w:val="0"/>
        </w:numPr>
        <w:pBdr>
          <w:top w:val="single" w:sz="8" w:space="0" w:color="C00000"/>
          <w:left w:val="single" w:sz="8" w:space="4" w:color="C00000"/>
          <w:right w:val="single" w:sz="8" w:space="4" w:color="C00000"/>
        </w:pBdr>
        <w:rPr>
          <w:color w:val="C00000"/>
          <w:sz w:val="20"/>
        </w:rPr>
      </w:pPr>
      <w:r w:rsidRPr="003F0F01">
        <w:rPr>
          <w:color w:val="C00000"/>
          <w:sz w:val="20"/>
        </w:rPr>
        <w:t xml:space="preserve">USG </w:t>
      </w:r>
      <w:r w:rsidR="00A25C9F">
        <w:rPr>
          <w:color w:val="C00000"/>
          <w:sz w:val="20"/>
        </w:rPr>
        <w:t>SHEETROCK</w:t>
      </w:r>
      <w:r w:rsidR="00FC76DB">
        <w:rPr>
          <w:color w:val="C00000"/>
          <w:sz w:val="20"/>
        </w:rPr>
        <w:t>® BRAND</w:t>
      </w:r>
      <w:r w:rsidR="00A25C9F">
        <w:rPr>
          <w:color w:val="C00000"/>
          <w:sz w:val="20"/>
        </w:rPr>
        <w:t xml:space="preserve"> LAY-IN</w:t>
      </w:r>
    </w:p>
    <w:p w:rsidR="00BD2776" w:rsidRPr="00F706F1" w:rsidRDefault="00BD2776" w:rsidP="00FC76DB">
      <w:pPr>
        <w:pStyle w:val="NoSpacing"/>
        <w:numPr>
          <w:ilvl w:val="0"/>
          <w:numId w:val="4"/>
        </w:numPr>
        <w:pBdr>
          <w:top w:val="single" w:sz="8" w:space="0" w:color="C00000"/>
          <w:left w:val="single" w:sz="8" w:space="4" w:color="C00000"/>
          <w:right w:val="single" w:sz="8" w:space="4" w:color="C00000"/>
        </w:pBdr>
        <w:suppressAutoHyphens/>
        <w:rPr>
          <w:color w:val="C00000"/>
          <w:sz w:val="20"/>
        </w:rPr>
      </w:pPr>
      <w:r w:rsidRPr="00F706F1">
        <w:rPr>
          <w:color w:val="C00000"/>
          <w:sz w:val="20"/>
        </w:rPr>
        <w:t>ClimaPlus</w:t>
      </w:r>
      <w:r w:rsidR="00FC76DB" w:rsidRPr="00F706F1">
        <w:rPr>
          <w:color w:val="C00000"/>
          <w:sz w:val="20"/>
        </w:rPr>
        <w:t>™</w:t>
      </w:r>
      <w:r w:rsidRPr="00F706F1">
        <w:rPr>
          <w:color w:val="C00000"/>
          <w:sz w:val="20"/>
        </w:rPr>
        <w:t xml:space="preserve"> 30 year</w:t>
      </w:r>
      <w:r w:rsidR="007A1E4C" w:rsidRPr="00F706F1">
        <w:rPr>
          <w:color w:val="C00000"/>
          <w:sz w:val="20"/>
        </w:rPr>
        <w:t xml:space="preserve"> limited system warranty.</w:t>
      </w:r>
      <w:r w:rsidRPr="00F706F1">
        <w:rPr>
          <w:color w:val="C00000"/>
          <w:sz w:val="20"/>
        </w:rPr>
        <w:t xml:space="preserve"> </w:t>
      </w:r>
    </w:p>
    <w:p w:rsidR="00A25C9F" w:rsidRPr="00A25C9F" w:rsidRDefault="00A25C9F" w:rsidP="00FC76DB">
      <w:pPr>
        <w:pStyle w:val="NoSpacing"/>
        <w:numPr>
          <w:ilvl w:val="0"/>
          <w:numId w:val="4"/>
        </w:numPr>
        <w:pBdr>
          <w:top w:val="single" w:sz="8" w:space="0" w:color="C00000"/>
          <w:left w:val="single" w:sz="8" w:space="4" w:color="C00000"/>
          <w:right w:val="single" w:sz="8" w:space="4" w:color="C00000"/>
        </w:pBdr>
        <w:suppressAutoHyphens/>
        <w:rPr>
          <w:color w:val="C00000"/>
          <w:sz w:val="20"/>
        </w:rPr>
      </w:pPr>
      <w:r w:rsidRPr="00A25C9F">
        <w:rPr>
          <w:color w:val="C00000"/>
          <w:sz w:val="20"/>
        </w:rPr>
        <w:t>Clean</w:t>
      </w:r>
      <w:r w:rsidR="00FC76DB">
        <w:rPr>
          <w:color w:val="C00000"/>
          <w:sz w:val="20"/>
        </w:rPr>
        <w:t xml:space="preserve"> </w:t>
      </w:r>
      <w:r w:rsidRPr="00A25C9F">
        <w:rPr>
          <w:color w:val="C00000"/>
          <w:sz w:val="20"/>
        </w:rPr>
        <w:t>room panels have a vinyl-laminated face with sealed back and edges for use in clean room environments up to Class 100.</w:t>
      </w:r>
    </w:p>
    <w:p w:rsidR="00A25C9F" w:rsidRPr="00A25C9F" w:rsidRDefault="00A25C9F" w:rsidP="00FC76DB">
      <w:pPr>
        <w:pStyle w:val="NoSpacing"/>
        <w:numPr>
          <w:ilvl w:val="0"/>
          <w:numId w:val="4"/>
        </w:numPr>
        <w:pBdr>
          <w:top w:val="single" w:sz="8" w:space="0" w:color="C00000"/>
          <w:left w:val="single" w:sz="8" w:space="4" w:color="C00000"/>
          <w:right w:val="single" w:sz="8" w:space="4" w:color="C00000"/>
        </w:pBdr>
        <w:suppressAutoHyphens/>
        <w:rPr>
          <w:color w:val="C00000"/>
          <w:sz w:val="20"/>
        </w:rPr>
      </w:pPr>
      <w:r w:rsidRPr="00A25C9F">
        <w:rPr>
          <w:color w:val="C00000"/>
          <w:sz w:val="20"/>
        </w:rPr>
        <w:t>Washable and scrubbable finish–impact and scratch resistant.</w:t>
      </w:r>
    </w:p>
    <w:p w:rsidR="00A25C9F" w:rsidRPr="00BD2776" w:rsidRDefault="00BD2776" w:rsidP="00FC76DB">
      <w:pPr>
        <w:pStyle w:val="NoSpacing"/>
        <w:numPr>
          <w:ilvl w:val="0"/>
          <w:numId w:val="4"/>
        </w:numPr>
        <w:pBdr>
          <w:top w:val="single" w:sz="8" w:space="0" w:color="C00000"/>
          <w:left w:val="single" w:sz="8" w:space="4" w:color="C00000"/>
          <w:right w:val="single" w:sz="8" w:space="4" w:color="C00000"/>
        </w:pBdr>
        <w:suppressAutoHyphens/>
        <w:rPr>
          <w:color w:val="C00000"/>
          <w:sz w:val="20"/>
        </w:rPr>
      </w:pPr>
      <w:r>
        <w:rPr>
          <w:color w:val="C00000"/>
          <w:sz w:val="20"/>
        </w:rPr>
        <w:t>USDA Certifi</w:t>
      </w:r>
      <w:r w:rsidR="00A25C9F" w:rsidRPr="00A25C9F">
        <w:rPr>
          <w:color w:val="C00000"/>
          <w:sz w:val="20"/>
        </w:rPr>
        <w:t>ed Biobased Product.</w:t>
      </w:r>
      <w:r>
        <w:rPr>
          <w:color w:val="C00000"/>
          <w:sz w:val="20"/>
        </w:rPr>
        <w:t xml:space="preserve"> </w:t>
      </w:r>
      <w:r w:rsidR="00A25C9F" w:rsidRPr="00BD2776">
        <w:rPr>
          <w:color w:val="C00000"/>
          <w:sz w:val="20"/>
        </w:rPr>
        <w:t>Panels meet USDA/FSIS requirements for food</w:t>
      </w:r>
      <w:r w:rsidR="00CA56AD" w:rsidRPr="00BD2776">
        <w:rPr>
          <w:color w:val="C00000"/>
          <w:sz w:val="20"/>
        </w:rPr>
        <w:t xml:space="preserve"> </w:t>
      </w:r>
      <w:r w:rsidR="00A25C9F" w:rsidRPr="00BD2776">
        <w:rPr>
          <w:color w:val="C00000"/>
          <w:sz w:val="20"/>
        </w:rPr>
        <w:t>processing areas.</w:t>
      </w:r>
    </w:p>
    <w:p w:rsidR="00C82650" w:rsidRDefault="00C82650" w:rsidP="00FC76DB">
      <w:pPr>
        <w:pStyle w:val="NoSpacing"/>
        <w:numPr>
          <w:ilvl w:val="0"/>
          <w:numId w:val="4"/>
        </w:numPr>
        <w:pBdr>
          <w:top w:val="single" w:sz="8" w:space="0" w:color="C00000"/>
          <w:left w:val="single" w:sz="8" w:space="4" w:color="C00000"/>
          <w:right w:val="single" w:sz="8" w:space="4" w:color="C00000"/>
        </w:pBdr>
        <w:suppressAutoHyphens/>
        <w:rPr>
          <w:color w:val="C00000"/>
          <w:sz w:val="20"/>
        </w:rPr>
      </w:pPr>
      <w:r>
        <w:rPr>
          <w:color w:val="C00000"/>
          <w:sz w:val="20"/>
        </w:rPr>
        <w:t>Firecode</w:t>
      </w:r>
      <w:r w:rsidR="00FC76DB">
        <w:rPr>
          <w:color w:val="C00000"/>
          <w:sz w:val="20"/>
        </w:rPr>
        <w:t>®</w:t>
      </w:r>
      <w:r>
        <w:rPr>
          <w:color w:val="C00000"/>
          <w:sz w:val="20"/>
        </w:rPr>
        <w:t xml:space="preserve"> product designed to meet life safety codes</w:t>
      </w:r>
    </w:p>
    <w:p w:rsidR="00C82650" w:rsidRPr="003F0F01" w:rsidRDefault="00C82650" w:rsidP="00FC76DB">
      <w:pPr>
        <w:pStyle w:val="NoSpacing"/>
        <w:numPr>
          <w:ilvl w:val="0"/>
          <w:numId w:val="4"/>
        </w:numPr>
        <w:pBdr>
          <w:left w:val="single" w:sz="8" w:space="4" w:color="C00000"/>
          <w:bottom w:val="single" w:sz="8" w:space="1" w:color="C00000"/>
          <w:right w:val="single" w:sz="8" w:space="4" w:color="C00000"/>
        </w:pBdr>
        <w:suppressAutoHyphens/>
        <w:rPr>
          <w:color w:val="C00000"/>
          <w:sz w:val="20"/>
        </w:rPr>
      </w:pPr>
      <w:r w:rsidRPr="003F0F01">
        <w:rPr>
          <w:b/>
          <w:color w:val="C00000"/>
          <w:sz w:val="20"/>
        </w:rPr>
        <w:t>&lt;insert product representative here&gt;</w:t>
      </w:r>
      <w:r w:rsidRPr="003F0F01">
        <w:rPr>
          <w:color w:val="C00000"/>
          <w:sz w:val="20"/>
        </w:rPr>
        <w:t xml:space="preserve"> or 800.874.4968 for technical questions</w:t>
      </w:r>
    </w:p>
    <w:p w:rsidR="009E1FA4" w:rsidRDefault="009E1FA4" w:rsidP="00FC76DB">
      <w:pPr>
        <w:suppressAutoHyphens/>
      </w:pPr>
    </w:p>
    <w:p w:rsidR="009E1FA4" w:rsidRPr="009D5E5D" w:rsidRDefault="00FC76DB" w:rsidP="00FC76DB">
      <w:pPr>
        <w:pStyle w:val="NoSpacing"/>
        <w:pBdr>
          <w:top w:val="single" w:sz="4" w:space="1" w:color="auto"/>
          <w:left w:val="single" w:sz="4" w:space="4" w:color="auto"/>
          <w:bottom w:val="single" w:sz="4" w:space="1" w:color="auto"/>
          <w:right w:val="single" w:sz="4" w:space="4" w:color="auto"/>
        </w:pBdr>
        <w:suppressAutoHyphens/>
        <w:rPr>
          <w:b/>
          <w:color w:val="0070C0"/>
        </w:rPr>
      </w:pPr>
      <w:r>
        <w:rPr>
          <w:b/>
          <w:color w:val="0070C0"/>
        </w:rPr>
        <w:t>Note to specifiers:</w:t>
      </w:r>
    </w:p>
    <w:p w:rsidR="009E1FA4" w:rsidRPr="009D5E5D" w:rsidRDefault="009E1FA4" w:rsidP="00FC76DB">
      <w:pPr>
        <w:pStyle w:val="NoSpacing"/>
        <w:pBdr>
          <w:top w:val="single" w:sz="4" w:space="1" w:color="auto"/>
          <w:left w:val="single" w:sz="4" w:space="4" w:color="auto"/>
          <w:bottom w:val="single" w:sz="4" w:space="1" w:color="auto"/>
          <w:right w:val="single" w:sz="4" w:space="4" w:color="auto"/>
        </w:pBdr>
        <w:suppressAutoHyphens/>
        <w:rPr>
          <w:color w:val="0070C0"/>
        </w:rPr>
      </w:pPr>
      <w:r w:rsidRPr="009D5E5D">
        <w:rPr>
          <w:color w:val="0070C0"/>
        </w:rPr>
        <w:t xml:space="preserve">This document is not intended to function </w:t>
      </w:r>
      <w:r w:rsidR="00FC76DB">
        <w:rPr>
          <w:color w:val="0070C0"/>
        </w:rPr>
        <w:t>as a standalone specification.</w:t>
      </w:r>
      <w:r w:rsidRPr="009D5E5D">
        <w:rPr>
          <w:color w:val="0070C0"/>
        </w:rPr>
        <w:t xml:space="preserve"> It is intended to assist the specifier in inserting the proper language into the following recommended specification sections:</w:t>
      </w:r>
    </w:p>
    <w:p w:rsidR="009E1FA4" w:rsidRPr="009D5E5D" w:rsidRDefault="009E1FA4" w:rsidP="00FC76DB">
      <w:pPr>
        <w:pStyle w:val="NoSpacing"/>
        <w:numPr>
          <w:ilvl w:val="0"/>
          <w:numId w:val="5"/>
        </w:numPr>
        <w:pBdr>
          <w:top w:val="single" w:sz="4" w:space="1" w:color="auto"/>
          <w:left w:val="single" w:sz="4" w:space="4" w:color="auto"/>
          <w:bottom w:val="single" w:sz="4" w:space="1" w:color="auto"/>
          <w:right w:val="single" w:sz="4" w:space="4" w:color="auto"/>
        </w:pBdr>
        <w:suppressAutoHyphens/>
        <w:rPr>
          <w:color w:val="0070C0"/>
        </w:rPr>
      </w:pPr>
      <w:r w:rsidRPr="009D5E5D">
        <w:rPr>
          <w:color w:val="0070C0"/>
        </w:rPr>
        <w:t xml:space="preserve">09 </w:t>
      </w:r>
      <w:r>
        <w:rPr>
          <w:color w:val="0070C0"/>
        </w:rPr>
        <w:t>51</w:t>
      </w:r>
      <w:r w:rsidRPr="009D5E5D">
        <w:rPr>
          <w:color w:val="0070C0"/>
        </w:rPr>
        <w:t xml:space="preserve"> </w:t>
      </w:r>
      <w:r>
        <w:rPr>
          <w:color w:val="0070C0"/>
        </w:rPr>
        <w:t>13</w:t>
      </w:r>
      <w:r w:rsidRPr="009D5E5D">
        <w:rPr>
          <w:color w:val="0070C0"/>
        </w:rPr>
        <w:t xml:space="preserve"> </w:t>
      </w:r>
      <w:r>
        <w:rPr>
          <w:color w:val="0070C0"/>
        </w:rPr>
        <w:t>Acoustical Panel Ceilings</w:t>
      </w:r>
    </w:p>
    <w:p w:rsidR="009E1FA4" w:rsidRPr="009D5E5D" w:rsidRDefault="009E1FA4" w:rsidP="00FC76DB">
      <w:pPr>
        <w:pStyle w:val="NoSpacing"/>
        <w:numPr>
          <w:ilvl w:val="0"/>
          <w:numId w:val="5"/>
        </w:numPr>
        <w:pBdr>
          <w:top w:val="single" w:sz="4" w:space="1" w:color="auto"/>
          <w:left w:val="single" w:sz="4" w:space="4" w:color="auto"/>
          <w:bottom w:val="single" w:sz="4" w:space="1" w:color="auto"/>
          <w:right w:val="single" w:sz="4" w:space="4" w:color="auto"/>
        </w:pBdr>
        <w:suppressAutoHyphens/>
        <w:rPr>
          <w:color w:val="0070C0"/>
        </w:rPr>
      </w:pPr>
      <w:r w:rsidRPr="009D5E5D">
        <w:rPr>
          <w:color w:val="0070C0"/>
        </w:rPr>
        <w:t xml:space="preserve">09 </w:t>
      </w:r>
      <w:r>
        <w:rPr>
          <w:color w:val="0070C0"/>
        </w:rPr>
        <w:t>51</w:t>
      </w:r>
      <w:r w:rsidRPr="009D5E5D">
        <w:rPr>
          <w:color w:val="0070C0"/>
        </w:rPr>
        <w:t xml:space="preserve"> </w:t>
      </w:r>
      <w:r>
        <w:rPr>
          <w:color w:val="0070C0"/>
        </w:rPr>
        <w:t>2</w:t>
      </w:r>
      <w:r w:rsidRPr="009D5E5D">
        <w:rPr>
          <w:color w:val="0070C0"/>
        </w:rPr>
        <w:t xml:space="preserve">3 </w:t>
      </w:r>
      <w:r>
        <w:rPr>
          <w:color w:val="0070C0"/>
        </w:rPr>
        <w:t>Acoustical Tile Ceilings</w:t>
      </w:r>
    </w:p>
    <w:tbl>
      <w:tblPr>
        <w:tblpPr w:leftFromText="180" w:rightFromText="180" w:vertAnchor="text" w:tblpY="3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F706F1" w:rsidTr="00223CC6">
        <w:tc>
          <w:tcPr>
            <w:tcW w:w="9576" w:type="dxa"/>
            <w:tcBorders>
              <w:top w:val="single" w:sz="4" w:space="0" w:color="auto"/>
              <w:left w:val="single" w:sz="4" w:space="0" w:color="auto"/>
              <w:bottom w:val="single" w:sz="4" w:space="0" w:color="auto"/>
              <w:right w:val="single" w:sz="4" w:space="0" w:color="auto"/>
            </w:tcBorders>
            <w:shd w:val="clear" w:color="auto" w:fill="E2EFD9"/>
            <w:hideMark/>
          </w:tcPr>
          <w:p w:rsidR="00F706F1" w:rsidRDefault="00F706F1" w:rsidP="00F706F1">
            <w:pPr>
              <w:pStyle w:val="NoSpacing"/>
              <w:ind w:left="360" w:hanging="360"/>
              <w:rPr>
                <w:b/>
                <w:color w:val="538135"/>
                <w:sz w:val="20"/>
              </w:rPr>
            </w:pPr>
            <w:r>
              <w:rPr>
                <w:b/>
                <w:color w:val="538135"/>
                <w:sz w:val="20"/>
              </w:rPr>
              <w:t xml:space="preserve">Sustainability Notes: </w:t>
            </w:r>
          </w:p>
        </w:tc>
      </w:tr>
      <w:tr w:rsidR="00F706F1" w:rsidTr="00223CC6">
        <w:tc>
          <w:tcPr>
            <w:tcW w:w="9576" w:type="dxa"/>
            <w:tcBorders>
              <w:top w:val="single" w:sz="4" w:space="0" w:color="auto"/>
              <w:left w:val="single" w:sz="4" w:space="0" w:color="auto"/>
              <w:bottom w:val="single" w:sz="4" w:space="0" w:color="auto"/>
              <w:right w:val="single" w:sz="4" w:space="0" w:color="auto"/>
            </w:tcBorders>
            <w:hideMark/>
          </w:tcPr>
          <w:p w:rsidR="00F706F1" w:rsidRDefault="00F706F1" w:rsidP="00F706F1">
            <w:pPr>
              <w:pStyle w:val="NoSpacing"/>
              <w:numPr>
                <w:ilvl w:val="0"/>
                <w:numId w:val="6"/>
              </w:numPr>
              <w:rPr>
                <w:color w:val="538135"/>
                <w:sz w:val="20"/>
              </w:rPr>
            </w:pPr>
            <w:r w:rsidRPr="00F706F1">
              <w:rPr>
                <w:color w:val="538135"/>
                <w:sz w:val="20"/>
              </w:rPr>
              <w:t>VOC Emissions: Third party (GREENGUARD Gold) certified for low-emitting performance, meets California Department of Department of Public Health’s (CDPH) Standard Method v1.1-2010 (CA Section 01350). ‘Certificates of Compliance’ for Low VOC Emissions are available on usg.com and at productguide.ulenvironment.com.</w:t>
            </w:r>
          </w:p>
        </w:tc>
      </w:tr>
    </w:tbl>
    <w:p w:rsidR="008754EE" w:rsidRPr="008754EE" w:rsidRDefault="008754EE" w:rsidP="00FC76DB">
      <w:pPr>
        <w:pStyle w:val="ART"/>
        <w:numPr>
          <w:ilvl w:val="0"/>
          <w:numId w:val="0"/>
        </w:numPr>
      </w:pPr>
      <w:r>
        <w:t xml:space="preserve">2.3   </w:t>
      </w:r>
      <w:r w:rsidR="007C1ACA">
        <w:t>ACOUSTICAL TILES</w:t>
      </w:r>
    </w:p>
    <w:p w:rsidR="0050272C" w:rsidRPr="000A0220" w:rsidRDefault="0050272C" w:rsidP="00FC76DB">
      <w:pPr>
        <w:pStyle w:val="PR1"/>
        <w:rPr>
          <w:rStyle w:val="SAhyperlink"/>
          <w:color w:val="auto"/>
          <w:u w:val="none"/>
        </w:rPr>
      </w:pPr>
      <w:r w:rsidRPr="000A0220">
        <w:rPr>
          <w:rStyle w:val="SAhyperlink"/>
          <w:color w:val="auto"/>
          <w:u w:val="none"/>
        </w:rPr>
        <w:t xml:space="preserve">Acoustical Panel Type </w:t>
      </w:r>
      <w:r w:rsidRPr="000A0220">
        <w:rPr>
          <w:rStyle w:val="SAhyperlink"/>
          <w:b/>
          <w:color w:val="auto"/>
          <w:u w:val="none"/>
        </w:rPr>
        <w:t>&lt;INSERT DESIGNATION HERE&gt;</w:t>
      </w:r>
      <w:r w:rsidRPr="000A0220">
        <w:rPr>
          <w:rStyle w:val="SAhyperlink"/>
          <w:color w:val="auto"/>
          <w:u w:val="none"/>
        </w:rPr>
        <w:t>:</w:t>
      </w:r>
    </w:p>
    <w:p w:rsidR="0050272C" w:rsidRPr="000A0220" w:rsidRDefault="0050272C" w:rsidP="00FC76DB">
      <w:pPr>
        <w:pStyle w:val="PR2"/>
        <w:jc w:val="left"/>
      </w:pPr>
      <w:r w:rsidRPr="000A0220">
        <w:rPr>
          <w:rStyle w:val="SAhyperlink"/>
          <w:color w:val="auto"/>
          <w:u w:val="none"/>
        </w:rPr>
        <w:t>Basis of Design: Subject to compliance with project requirements, the design is based on the following: USG Interiors, LLC</w:t>
      </w:r>
      <w:r w:rsidR="00D82422" w:rsidRPr="000A0220">
        <w:rPr>
          <w:rStyle w:val="SAhyperlink"/>
          <w:color w:val="auto"/>
          <w:u w:val="none"/>
        </w:rPr>
        <w:t>,</w:t>
      </w:r>
      <w:r w:rsidR="006C579E">
        <w:rPr>
          <w:rStyle w:val="SAhyperlink"/>
          <w:color w:val="auto"/>
          <w:u w:val="none"/>
        </w:rPr>
        <w:t xml:space="preserve"> </w:t>
      </w:r>
      <w:r w:rsidR="00FC76DB">
        <w:rPr>
          <w:rStyle w:val="SAhyperlink"/>
          <w:color w:val="auto"/>
          <w:u w:val="none"/>
        </w:rPr>
        <w:t>“</w:t>
      </w:r>
      <w:r w:rsidR="00086E45">
        <w:rPr>
          <w:rStyle w:val="SAhyperlink"/>
          <w:color w:val="auto"/>
          <w:u w:val="none"/>
        </w:rPr>
        <w:t>Sheetrock Lay-In</w:t>
      </w:r>
      <w:r w:rsidRPr="000A0220">
        <w:rPr>
          <w:rStyle w:val="SAhyperlink"/>
          <w:color w:val="auto"/>
          <w:u w:val="none"/>
        </w:rPr>
        <w:t>”</w:t>
      </w:r>
      <w:r w:rsidR="00D82422" w:rsidRPr="000A0220">
        <w:rPr>
          <w:rStyle w:val="SAhyperlink"/>
          <w:color w:val="auto"/>
          <w:u w:val="none"/>
        </w:rPr>
        <w:t>.</w:t>
      </w:r>
    </w:p>
    <w:p w:rsidR="0050272C" w:rsidRPr="000A0220" w:rsidRDefault="0050272C" w:rsidP="00FC76DB">
      <w:pPr>
        <w:pStyle w:val="PR2"/>
        <w:rPr>
          <w:rStyle w:val="SAhyperlink"/>
          <w:color w:val="auto"/>
          <w:u w:val="none"/>
        </w:rPr>
      </w:pPr>
      <w:r w:rsidRPr="000A0220">
        <w:rPr>
          <w:rStyle w:val="SAhyperlink"/>
          <w:color w:val="auto"/>
          <w:u w:val="none"/>
        </w:rPr>
        <w:t>Classification:  Provide ceiling panels complying with ASTM E 1264 for type, form and pattern as follows:</w:t>
      </w:r>
    </w:p>
    <w:p w:rsidR="0050272C" w:rsidRPr="000A0220" w:rsidRDefault="0050272C" w:rsidP="00FC76DB">
      <w:pPr>
        <w:pStyle w:val="PR3"/>
        <w:rPr>
          <w:rStyle w:val="SAhyperlink"/>
          <w:color w:val="auto"/>
          <w:u w:val="none"/>
        </w:rPr>
      </w:pPr>
      <w:r w:rsidRPr="000A0220">
        <w:rPr>
          <w:rStyle w:val="SAhyperlink"/>
          <w:color w:val="auto"/>
          <w:u w:val="none"/>
        </w:rPr>
        <w:t>Type</w:t>
      </w:r>
      <w:r w:rsidR="004025D2" w:rsidRPr="000A0220">
        <w:rPr>
          <w:rStyle w:val="SAhyperlink"/>
          <w:color w:val="auto"/>
          <w:u w:val="none"/>
        </w:rPr>
        <w:t>:</w:t>
      </w:r>
      <w:r w:rsidRPr="000A0220">
        <w:rPr>
          <w:rStyle w:val="SAhyperlink"/>
          <w:color w:val="auto"/>
          <w:u w:val="none"/>
        </w:rPr>
        <w:t xml:space="preserve"> </w:t>
      </w:r>
      <w:r w:rsidR="00086E45">
        <w:rPr>
          <w:rStyle w:val="SAhyperlink"/>
          <w:color w:val="auto"/>
          <w:u w:val="none"/>
        </w:rPr>
        <w:t>XX</w:t>
      </w:r>
      <w:r w:rsidRPr="000A0220">
        <w:rPr>
          <w:rStyle w:val="SAhyperlink"/>
          <w:color w:val="auto"/>
          <w:u w:val="none"/>
        </w:rPr>
        <w:t xml:space="preserve">, </w:t>
      </w:r>
      <w:r w:rsidR="004025D2" w:rsidRPr="000A0220">
        <w:rPr>
          <w:rStyle w:val="SAhyperlink"/>
          <w:color w:val="auto"/>
          <w:u w:val="none"/>
        </w:rPr>
        <w:t>mineral base with membrane faced overlay</w:t>
      </w:r>
    </w:p>
    <w:p w:rsidR="0050272C" w:rsidRPr="000A0220" w:rsidRDefault="0050272C" w:rsidP="00FC76DB">
      <w:pPr>
        <w:pStyle w:val="PR3"/>
        <w:rPr>
          <w:rStyle w:val="SAhyperlink"/>
          <w:color w:val="auto"/>
          <w:u w:val="none"/>
        </w:rPr>
      </w:pPr>
      <w:r w:rsidRPr="000A0220">
        <w:rPr>
          <w:rStyle w:val="SAhyperlink"/>
          <w:color w:val="auto"/>
          <w:u w:val="none"/>
        </w:rPr>
        <w:t>Form</w:t>
      </w:r>
      <w:r w:rsidR="004025D2" w:rsidRPr="000A0220">
        <w:rPr>
          <w:rStyle w:val="SAhyperlink"/>
          <w:color w:val="auto"/>
          <w:u w:val="none"/>
        </w:rPr>
        <w:t>:</w:t>
      </w:r>
      <w:r w:rsidRPr="000A0220">
        <w:rPr>
          <w:rStyle w:val="SAhyperlink"/>
          <w:color w:val="auto"/>
          <w:u w:val="none"/>
        </w:rPr>
        <w:t xml:space="preserve"> </w:t>
      </w:r>
      <w:r w:rsidR="00086E45">
        <w:rPr>
          <w:rStyle w:val="SAhyperlink"/>
          <w:color w:val="auto"/>
          <w:u w:val="none"/>
        </w:rPr>
        <w:t>Not Applicable</w:t>
      </w:r>
    </w:p>
    <w:p w:rsidR="0050272C" w:rsidRPr="000A0220" w:rsidRDefault="004025D2" w:rsidP="00FC76DB">
      <w:pPr>
        <w:pStyle w:val="PR3"/>
        <w:rPr>
          <w:rStyle w:val="SAhyperlink"/>
          <w:color w:val="auto"/>
          <w:u w:val="none"/>
        </w:rPr>
      </w:pPr>
      <w:r w:rsidRPr="000A0220">
        <w:rPr>
          <w:rStyle w:val="SAhyperlink"/>
          <w:color w:val="auto"/>
          <w:u w:val="none"/>
        </w:rPr>
        <w:t>P</w:t>
      </w:r>
      <w:r w:rsidR="0050272C" w:rsidRPr="000A0220">
        <w:rPr>
          <w:rStyle w:val="SAhyperlink"/>
          <w:color w:val="auto"/>
          <w:u w:val="none"/>
        </w:rPr>
        <w:t>attern</w:t>
      </w:r>
      <w:r w:rsidRPr="000A0220">
        <w:rPr>
          <w:rStyle w:val="SAhyperlink"/>
          <w:color w:val="auto"/>
          <w:u w:val="none"/>
        </w:rPr>
        <w:t>:</w:t>
      </w:r>
      <w:r w:rsidR="0050272C" w:rsidRPr="000A0220">
        <w:rPr>
          <w:rStyle w:val="SAhyperlink"/>
          <w:color w:val="auto"/>
          <w:u w:val="none"/>
        </w:rPr>
        <w:t xml:space="preserve"> G</w:t>
      </w:r>
      <w:r w:rsidRPr="000A0220">
        <w:rPr>
          <w:rStyle w:val="SAhyperlink"/>
          <w:color w:val="auto"/>
          <w:u w:val="none"/>
        </w:rPr>
        <w:t>, smooth</w:t>
      </w:r>
    </w:p>
    <w:p w:rsidR="00E00797" w:rsidRPr="000A0220" w:rsidRDefault="00E00797" w:rsidP="00FC76DB">
      <w:pPr>
        <w:pStyle w:val="PR2"/>
      </w:pPr>
      <w:r w:rsidRPr="000A0220">
        <w:t xml:space="preserve">Color: </w:t>
      </w:r>
      <w:r w:rsidR="009C7D03" w:rsidRPr="000A0220">
        <w:t xml:space="preserve">Manufacturers standard </w:t>
      </w:r>
      <w:r w:rsidR="003325A0" w:rsidRPr="000A0220">
        <w:t xml:space="preserve">Flat </w:t>
      </w:r>
      <w:r w:rsidRPr="000A0220">
        <w:t>White</w:t>
      </w:r>
      <w:r w:rsidR="003325A0" w:rsidRPr="000A0220">
        <w:t xml:space="preserve"> 050</w:t>
      </w:r>
      <w:r w:rsidR="009C7D03" w:rsidRPr="000A0220">
        <w:t>.</w:t>
      </w:r>
    </w:p>
    <w:p w:rsidR="00E00797" w:rsidRPr="000A0220" w:rsidRDefault="009C7D03" w:rsidP="00FC76DB">
      <w:pPr>
        <w:pStyle w:val="PR2"/>
      </w:pPr>
      <w:r w:rsidRPr="000A0220">
        <w:t xml:space="preserve">LR: Not less than </w:t>
      </w:r>
      <w:r w:rsidR="00E00797" w:rsidRPr="000A0220">
        <w:t>0.</w:t>
      </w:r>
      <w:r w:rsidR="00745E2A">
        <w:t>77</w:t>
      </w:r>
      <w:r w:rsidR="00E00797" w:rsidRPr="000A0220">
        <w:t>.</w:t>
      </w:r>
    </w:p>
    <w:p w:rsidR="00E00797" w:rsidRPr="000A0220" w:rsidRDefault="00E00797" w:rsidP="00FC76DB">
      <w:pPr>
        <w:pStyle w:val="PR2"/>
      </w:pPr>
      <w:r w:rsidRPr="000A0220">
        <w:t>NRC: Not less than</w:t>
      </w:r>
      <w:r w:rsidR="00745E2A">
        <w:t>:</w:t>
      </w:r>
      <w:r w:rsidRPr="000A0220">
        <w:t xml:space="preserve"> </w:t>
      </w:r>
      <w:r w:rsidR="00745E2A">
        <w:t>N/A</w:t>
      </w:r>
    </w:p>
    <w:p w:rsidR="00E00797" w:rsidRPr="001F4C55" w:rsidRDefault="00E00797" w:rsidP="00FC76DB">
      <w:pPr>
        <w:pStyle w:val="PR2"/>
      </w:pPr>
      <w:r w:rsidRPr="000A0220">
        <w:t xml:space="preserve">CAC: </w:t>
      </w:r>
      <w:r w:rsidRPr="001F4C55">
        <w:t>Not less than</w:t>
      </w:r>
      <w:r w:rsidR="00745E2A" w:rsidRPr="001F4C55">
        <w:t>:</w:t>
      </w:r>
      <w:r w:rsidRPr="001F4C55">
        <w:t xml:space="preserve"> </w:t>
      </w:r>
      <w:r w:rsidR="00E16D3B" w:rsidRPr="00EB30EC">
        <w:rPr>
          <w:b/>
        </w:rPr>
        <w:t>[</w:t>
      </w:r>
      <w:r w:rsidRPr="00EB30EC">
        <w:rPr>
          <w:b/>
        </w:rPr>
        <w:t>35</w:t>
      </w:r>
      <w:r w:rsidR="00E16D3B" w:rsidRPr="00EB30EC">
        <w:rPr>
          <w:b/>
        </w:rPr>
        <w:t>] [40]</w:t>
      </w:r>
      <w:r w:rsidRPr="00EB30EC">
        <w:rPr>
          <w:b/>
        </w:rPr>
        <w:t>.</w:t>
      </w:r>
    </w:p>
    <w:p w:rsidR="00905C24" w:rsidRPr="001F4C55" w:rsidRDefault="00E00797" w:rsidP="00FC76DB">
      <w:pPr>
        <w:pStyle w:val="PR2"/>
      </w:pPr>
      <w:r w:rsidRPr="001F4C55">
        <w:t xml:space="preserve">Edge/Joint Detail: </w:t>
      </w:r>
      <w:r w:rsidR="00745E2A" w:rsidRPr="001F4C55">
        <w:t xml:space="preserve">SQ </w:t>
      </w:r>
      <w:r w:rsidR="008D3631" w:rsidRPr="001F4C55">
        <w:t>Square.</w:t>
      </w:r>
    </w:p>
    <w:p w:rsidR="00EE3BD5" w:rsidRPr="00EB30EC" w:rsidRDefault="00EE3BD5" w:rsidP="00FC76DB">
      <w:pPr>
        <w:pStyle w:val="PR2"/>
        <w:rPr>
          <w:b/>
        </w:rPr>
      </w:pPr>
      <w:r w:rsidRPr="001F4C55">
        <w:t>Suspension Grid Width</w:t>
      </w:r>
      <w:r w:rsidR="00745E2A" w:rsidRPr="001F4C55">
        <w:t xml:space="preserve">: </w:t>
      </w:r>
      <w:r w:rsidR="00745E2A" w:rsidRPr="00EB30EC">
        <w:rPr>
          <w:b/>
        </w:rPr>
        <w:t>[DX/DXL] [DXLA] [ZXLA] [CE]</w:t>
      </w:r>
      <w:r w:rsidRPr="00EB30EC">
        <w:rPr>
          <w:b/>
        </w:rPr>
        <w:t xml:space="preserve"> </w:t>
      </w:r>
      <w:r w:rsidR="003325A0" w:rsidRPr="00EB30EC">
        <w:rPr>
          <w:b/>
        </w:rPr>
        <w:t>[</w:t>
      </w:r>
      <w:r w:rsidR="003325A0" w:rsidRPr="00EB30EC">
        <w:rPr>
          <w:b/>
          <w:color w:val="FF0000"/>
        </w:rPr>
        <w:t xml:space="preserve">15/16 inch </w:t>
      </w:r>
      <w:r w:rsidR="003325A0" w:rsidRPr="00EB30EC">
        <w:rPr>
          <w:rStyle w:val="SI"/>
          <w:b/>
        </w:rPr>
        <w:t>(</w:t>
      </w:r>
      <w:r w:rsidR="00FF1D23" w:rsidRPr="00EB30EC">
        <w:rPr>
          <w:rStyle w:val="SI"/>
          <w:b/>
        </w:rPr>
        <w:t>24</w:t>
      </w:r>
      <w:r w:rsidR="003325A0" w:rsidRPr="00EB30EC">
        <w:rPr>
          <w:rStyle w:val="SI"/>
          <w:b/>
        </w:rPr>
        <w:t xml:space="preserve"> mm)</w:t>
      </w:r>
      <w:r w:rsidR="003325A0" w:rsidRPr="00EB30EC">
        <w:rPr>
          <w:b/>
        </w:rPr>
        <w:t>] [</w:t>
      </w:r>
      <w:r w:rsidR="003325A0" w:rsidRPr="00EB30EC">
        <w:rPr>
          <w:b/>
          <w:color w:val="FF0000"/>
        </w:rPr>
        <w:t xml:space="preserve">1 ½ inch </w:t>
      </w:r>
      <w:r w:rsidR="003325A0" w:rsidRPr="00EB30EC">
        <w:rPr>
          <w:rStyle w:val="SI"/>
          <w:b/>
        </w:rPr>
        <w:t>(</w:t>
      </w:r>
      <w:r w:rsidR="00FF1D23" w:rsidRPr="00EB30EC">
        <w:rPr>
          <w:rStyle w:val="SI"/>
          <w:b/>
        </w:rPr>
        <w:t>38</w:t>
      </w:r>
      <w:r w:rsidR="003325A0" w:rsidRPr="00EB30EC">
        <w:rPr>
          <w:rStyle w:val="SI"/>
          <w:b/>
        </w:rPr>
        <w:t xml:space="preserve"> mm)</w:t>
      </w:r>
      <w:r w:rsidR="003325A0" w:rsidRPr="00EB30EC">
        <w:rPr>
          <w:b/>
        </w:rPr>
        <w:t>]</w:t>
      </w:r>
      <w:r w:rsidR="00745E2A" w:rsidRPr="00EB30EC">
        <w:rPr>
          <w:b/>
        </w:rPr>
        <w:t>.</w:t>
      </w:r>
      <w:r w:rsidRPr="00EB30EC">
        <w:rPr>
          <w:b/>
        </w:rPr>
        <w:t xml:space="preserve"> </w:t>
      </w:r>
    </w:p>
    <w:p w:rsidR="00E00797" w:rsidRPr="001F4C55" w:rsidRDefault="006943FC" w:rsidP="00FC76DB">
      <w:pPr>
        <w:pStyle w:val="PR2"/>
      </w:pPr>
      <w:r w:rsidRPr="001F4C55">
        <w:t xml:space="preserve">Panel </w:t>
      </w:r>
      <w:r w:rsidR="00E00797" w:rsidRPr="001F4C55">
        <w:t xml:space="preserve">Thickness: </w:t>
      </w:r>
      <w:r w:rsidR="00086E45" w:rsidRPr="001F4C55">
        <w:rPr>
          <w:rStyle w:val="IP"/>
        </w:rPr>
        <w:t>1</w:t>
      </w:r>
      <w:r w:rsidR="00E00797" w:rsidRPr="001F4C55">
        <w:rPr>
          <w:rStyle w:val="IP"/>
        </w:rPr>
        <w:t>/</w:t>
      </w:r>
      <w:r w:rsidR="00086E45" w:rsidRPr="001F4C55">
        <w:rPr>
          <w:rStyle w:val="IP"/>
        </w:rPr>
        <w:t>2</w:t>
      </w:r>
      <w:r w:rsidR="00E00797" w:rsidRPr="001F4C55">
        <w:rPr>
          <w:rStyle w:val="IP"/>
        </w:rPr>
        <w:t xml:space="preserve"> inch</w:t>
      </w:r>
      <w:r w:rsidR="00E00797" w:rsidRPr="001F4C55">
        <w:rPr>
          <w:rStyle w:val="SI"/>
        </w:rPr>
        <w:t xml:space="preserve"> (</w:t>
      </w:r>
      <w:r w:rsidR="00086E45" w:rsidRPr="001F4C55">
        <w:rPr>
          <w:rStyle w:val="SI"/>
        </w:rPr>
        <w:t>12.7</w:t>
      </w:r>
      <w:r w:rsidR="00E00797" w:rsidRPr="001F4C55">
        <w:rPr>
          <w:rStyle w:val="SI"/>
        </w:rPr>
        <w:t xml:space="preserve"> mm)</w:t>
      </w:r>
      <w:r w:rsidR="00745E2A" w:rsidRPr="001F4C55">
        <w:rPr>
          <w:rStyle w:val="SI"/>
        </w:rPr>
        <w:t>.</w:t>
      </w:r>
    </w:p>
    <w:p w:rsidR="00E00797" w:rsidRPr="001F4C55" w:rsidRDefault="00E00797" w:rsidP="00FC76DB">
      <w:pPr>
        <w:pStyle w:val="PR2"/>
      </w:pPr>
      <w:r w:rsidRPr="001F4C55">
        <w:t xml:space="preserve">Modular Size: </w:t>
      </w:r>
      <w:r w:rsidRPr="00EB30EC">
        <w:rPr>
          <w:b/>
        </w:rPr>
        <w:t>[</w:t>
      </w:r>
      <w:r w:rsidR="005658ED" w:rsidRPr="00EB30EC">
        <w:rPr>
          <w:rStyle w:val="IP"/>
          <w:b/>
        </w:rPr>
        <w:t>24</w:t>
      </w:r>
      <w:r w:rsidRPr="00EB30EC">
        <w:rPr>
          <w:rStyle w:val="IP"/>
          <w:b/>
        </w:rPr>
        <w:t xml:space="preserve"> by </w:t>
      </w:r>
      <w:r w:rsidR="005658ED" w:rsidRPr="00EB30EC">
        <w:rPr>
          <w:rStyle w:val="IP"/>
          <w:b/>
        </w:rPr>
        <w:t>24</w:t>
      </w:r>
      <w:r w:rsidRPr="00EB30EC">
        <w:rPr>
          <w:rStyle w:val="IP"/>
          <w:b/>
        </w:rPr>
        <w:t xml:space="preserve"> inches</w:t>
      </w:r>
      <w:r w:rsidRPr="00EB30EC">
        <w:rPr>
          <w:rStyle w:val="SI"/>
          <w:b/>
        </w:rPr>
        <w:t xml:space="preserve"> (</w:t>
      </w:r>
      <w:r w:rsidR="005658ED" w:rsidRPr="00EB30EC">
        <w:rPr>
          <w:rStyle w:val="SI"/>
          <w:b/>
        </w:rPr>
        <w:t>610</w:t>
      </w:r>
      <w:r w:rsidRPr="00EB30EC">
        <w:rPr>
          <w:rStyle w:val="SI"/>
          <w:b/>
        </w:rPr>
        <w:t xml:space="preserve"> by </w:t>
      </w:r>
      <w:r w:rsidR="005658ED" w:rsidRPr="00EB30EC">
        <w:rPr>
          <w:rStyle w:val="SI"/>
          <w:b/>
        </w:rPr>
        <w:t>610</w:t>
      </w:r>
      <w:r w:rsidRPr="00EB30EC">
        <w:rPr>
          <w:rStyle w:val="SI"/>
          <w:b/>
        </w:rPr>
        <w:t xml:space="preserve"> mm)</w:t>
      </w:r>
      <w:r w:rsidRPr="00EB30EC">
        <w:rPr>
          <w:b/>
        </w:rPr>
        <w:t xml:space="preserve">] </w:t>
      </w:r>
      <w:r w:rsidR="00E22A99" w:rsidRPr="00EB30EC">
        <w:rPr>
          <w:b/>
        </w:rPr>
        <w:t>[</w:t>
      </w:r>
      <w:r w:rsidR="00E22A99" w:rsidRPr="00EB30EC">
        <w:rPr>
          <w:rStyle w:val="IP"/>
          <w:b/>
        </w:rPr>
        <w:t>24 by 48 inches</w:t>
      </w:r>
      <w:r w:rsidR="00E22A99" w:rsidRPr="00EB30EC">
        <w:rPr>
          <w:rStyle w:val="SI"/>
          <w:b/>
        </w:rPr>
        <w:t xml:space="preserve"> (610 by 1220 mm)</w:t>
      </w:r>
      <w:r w:rsidR="00E22A99" w:rsidRPr="00EB30EC">
        <w:rPr>
          <w:b/>
        </w:rPr>
        <w:t xml:space="preserve">] </w:t>
      </w:r>
      <w:r w:rsidRPr="00EB30EC">
        <w:rPr>
          <w:b/>
        </w:rPr>
        <w:t>[As indicated on Drawings] [As indicated in a schedule]</w:t>
      </w:r>
      <w:r w:rsidRPr="00EB30EC">
        <w:t>.</w:t>
      </w:r>
    </w:p>
    <w:p w:rsidR="00524422" w:rsidRPr="00F706F1" w:rsidRDefault="00524422" w:rsidP="00FC76DB">
      <w:pPr>
        <w:pStyle w:val="PR2"/>
      </w:pPr>
      <w:r w:rsidRPr="00F706F1">
        <w:t xml:space="preserve">Recycled Content: </w:t>
      </w:r>
      <w:r w:rsidR="00404286" w:rsidRPr="00F706F1">
        <w:t>8</w:t>
      </w:r>
      <w:r w:rsidR="00E16D3B" w:rsidRPr="00F706F1">
        <w:t>0%.</w:t>
      </w:r>
    </w:p>
    <w:p w:rsidR="005D2B47" w:rsidRPr="00F706F1" w:rsidRDefault="005D2B47" w:rsidP="005D2B47">
      <w:pPr>
        <w:pStyle w:val="PR2"/>
      </w:pPr>
      <w:r w:rsidRPr="00F706F1">
        <w:t>VOC Emissions: Third party (GREENGUARD Gold) certified for low-emitting performance, meets California Department of Department of Public Health’s (CDPH) Standard Method v1.1-2010 (CA Section 01350). ‘Certificates of Compliance’ for Low VOC Emissions are available on usg.com and at productguide.ulenvironment.com.</w:t>
      </w:r>
    </w:p>
    <w:p w:rsidR="0078514C" w:rsidRPr="00F706F1" w:rsidRDefault="0078514C" w:rsidP="00FC76DB">
      <w:pPr>
        <w:pStyle w:val="PR2"/>
      </w:pPr>
      <w:r w:rsidRPr="00F706F1">
        <w:lastRenderedPageBreak/>
        <w:t>Panel Features: Washable, scrubbable, soil and impact resistant finish. Meets USDA/FSIS guidelines for use in food processing areas.</w:t>
      </w:r>
    </w:p>
    <w:p w:rsidR="0078514C" w:rsidRPr="00F706F1" w:rsidRDefault="0078514C" w:rsidP="00FC76DB">
      <w:pPr>
        <w:pStyle w:val="PR2"/>
      </w:pPr>
      <w:r w:rsidRPr="00F706F1">
        <w:t xml:space="preserve">Panel Options: </w:t>
      </w:r>
      <w:r w:rsidR="00FC76DB" w:rsidRPr="00F706F1">
        <w:rPr>
          <w:b/>
        </w:rPr>
        <w:t>[</w:t>
      </w:r>
      <w:r w:rsidRPr="00F706F1">
        <w:rPr>
          <w:b/>
        </w:rPr>
        <w:t>Firecode</w:t>
      </w:r>
      <w:r w:rsidR="00FC76DB" w:rsidRPr="00F706F1">
        <w:rPr>
          <w:b/>
        </w:rPr>
        <w:t>®</w:t>
      </w:r>
      <w:r w:rsidRPr="00F706F1">
        <w:rPr>
          <w:b/>
        </w:rPr>
        <w:t>: a Fire rated option, designed to meet life safety codes</w:t>
      </w:r>
      <w:r w:rsidR="00FC76DB" w:rsidRPr="00F706F1">
        <w:rPr>
          <w:b/>
        </w:rPr>
        <w:t>.]</w:t>
      </w:r>
    </w:p>
    <w:p w:rsidR="0078514C" w:rsidRPr="00F706F1" w:rsidRDefault="0078514C" w:rsidP="00FC76DB">
      <w:pPr>
        <w:pStyle w:val="PR2"/>
      </w:pPr>
      <w:r w:rsidRPr="00F706F1">
        <w:t xml:space="preserve">Clean room performance: </w:t>
      </w:r>
      <w:r w:rsidR="001F4C55" w:rsidRPr="00F706F1">
        <w:t>A</w:t>
      </w:r>
      <w:r w:rsidRPr="00F706F1">
        <w:t>cceptable in applications up to Class 100 Clean rooms.</w:t>
      </w:r>
    </w:p>
    <w:p w:rsidR="0078514C" w:rsidRDefault="0078514C" w:rsidP="00FC76DB">
      <w:pPr>
        <w:pStyle w:val="PR2"/>
      </w:pPr>
      <w:r w:rsidRPr="00F706F1">
        <w:t>ClimaPlus™ 30 year</w:t>
      </w:r>
      <w:r w:rsidR="006E2CD1" w:rsidRPr="00F706F1">
        <w:t xml:space="preserve"> limited system warranty</w:t>
      </w:r>
      <w:r w:rsidRPr="00F706F1">
        <w:t>:</w:t>
      </w:r>
      <w:r w:rsidRPr="00441FC6">
        <w:t xml:space="preserve"> Contains a broad spectrum antimicrobial additive on the face and back of the panel that provides resistance against the growth of mold and mildew.  Includes sag resistance performance</w:t>
      </w:r>
      <w:r w:rsidR="005F4CCA">
        <w:t>.</w:t>
      </w:r>
    </w:p>
    <w:p w:rsidR="00954A55" w:rsidRDefault="00954A55" w:rsidP="00FC76DB">
      <w:pPr>
        <w:pStyle w:val="PR2"/>
        <w:numPr>
          <w:ilvl w:val="0"/>
          <w:numId w:val="0"/>
        </w:numPr>
        <w:ind w:left="1440"/>
      </w:pPr>
    </w:p>
    <w:p w:rsidR="009E1FA4" w:rsidRPr="000A0220" w:rsidRDefault="00AC5F3A" w:rsidP="00FC76DB">
      <w:pPr>
        <w:pStyle w:val="NoSpacing"/>
        <w:suppressAutoHyphens/>
      </w:pPr>
      <w:r>
        <w:rPr>
          <w:color w:val="C0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text files can be modified by other parties, without notice or indication of such modifications, modification of USG Product Guide Specifications and Drawings is the sole responsibility of the Design Professional.</w:t>
      </w:r>
    </w:p>
    <w:sectPr w:rsidR="009E1FA4" w:rsidRPr="000A0220" w:rsidSect="00B5428F">
      <w:headerReference w:type="default" r:id="rId7"/>
      <w:footerReference w:type="default" r:id="rId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A28" w:rsidRDefault="007E3A28">
      <w:r>
        <w:separator/>
      </w:r>
    </w:p>
  </w:endnote>
  <w:endnote w:type="continuationSeparator" w:id="0">
    <w:p w:rsidR="007E3A28" w:rsidRDefault="007E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78514C">
      <w:tc>
        <w:tcPr>
          <w:tcW w:w="7632" w:type="dxa"/>
        </w:tcPr>
        <w:p w:rsidR="0078514C" w:rsidRPr="00F706F1" w:rsidRDefault="0078514C">
          <w:pPr>
            <w:pStyle w:val="FTR"/>
          </w:pPr>
          <w:r w:rsidRPr="00F706F1">
            <w:rPr>
              <w:rStyle w:val="NAM"/>
            </w:rPr>
            <w:t>CEILING TILE SPECIFICATION</w:t>
          </w:r>
        </w:p>
      </w:tc>
      <w:tc>
        <w:tcPr>
          <w:tcW w:w="1872" w:type="dxa"/>
        </w:tcPr>
        <w:p w:rsidR="0078514C" w:rsidRDefault="0078514C">
          <w:pPr>
            <w:pStyle w:val="RJUST"/>
          </w:pPr>
          <w:r>
            <w:rPr>
              <w:rStyle w:val="NUM"/>
            </w:rPr>
            <w:t>095123</w:t>
          </w:r>
          <w:r>
            <w:t xml:space="preserve"> - </w:t>
          </w:r>
          <w:r w:rsidR="00B775B9">
            <w:fldChar w:fldCharType="begin"/>
          </w:r>
          <w:r w:rsidR="005F4CCA">
            <w:instrText xml:space="preserve"> PAGE </w:instrText>
          </w:r>
          <w:r w:rsidR="00B775B9">
            <w:fldChar w:fldCharType="separate"/>
          </w:r>
          <w:r w:rsidR="0022245A">
            <w:rPr>
              <w:noProof/>
            </w:rPr>
            <w:t>1</w:t>
          </w:r>
          <w:r w:rsidR="00B775B9">
            <w:rPr>
              <w:noProof/>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A28" w:rsidRDefault="007E3A28">
      <w:r>
        <w:separator/>
      </w:r>
    </w:p>
  </w:footnote>
  <w:footnote w:type="continuationSeparator" w:id="0">
    <w:p w:rsidR="007E3A28" w:rsidRDefault="007E3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CCA" w:rsidRDefault="0078514C" w:rsidP="005F4CCA">
    <w:pPr>
      <w:pStyle w:val="HDR"/>
    </w:pPr>
    <w:r>
      <w:rPr>
        <w:rStyle w:val="CPR"/>
      </w:rPr>
      <w:t>Copyright 201</w:t>
    </w:r>
    <w:r w:rsidR="00F706F1">
      <w:rPr>
        <w:rStyle w:val="CPR"/>
      </w:rPr>
      <w:t>7</w:t>
    </w:r>
    <w:r>
      <w:rPr>
        <w:rStyle w:val="CPR"/>
      </w:rPr>
      <w:t xml:space="preserve"> USG</w:t>
    </w:r>
    <w:r w:rsidR="00EB30EC">
      <w:rPr>
        <w:rStyle w:val="CPR"/>
      </w:rPr>
      <w:t xml:space="preserve"> </w:t>
    </w:r>
    <w:r w:rsidR="00EB30EC" w:rsidRPr="005F4CCA">
      <w:rPr>
        <w:rStyle w:val="CPR"/>
      </w:rPr>
      <w:t>SC</w:t>
    </w:r>
    <w:r w:rsidR="00E64107">
      <w:rPr>
        <w:rStyle w:val="CPR"/>
      </w:rPr>
      <w:t>2721</w:t>
    </w:r>
    <w:r w:rsidR="005F4CCA">
      <w:rPr>
        <w:rStyle w:val="CPR"/>
      </w:rPr>
      <w:tab/>
    </w:r>
    <w:r w:rsidR="00F706F1">
      <w:t>2/16/2017</w:t>
    </w:r>
    <w:r w:rsidR="005F4CCA">
      <w:rPr>
        <w:rStyle w:val="SPD"/>
      </w:rPr>
      <w:tab/>
    </w:r>
    <w:r w:rsidR="00F706F1" w:rsidRPr="00283630">
      <w:rPr>
        <w:rStyle w:val="SPD"/>
        <w:noProof/>
      </w:rPr>
      <w:drawing>
        <wp:inline distT="0" distB="0" distL="0" distR="0" wp14:anchorId="6B796DCE" wp14:editId="2C76774A">
          <wp:extent cx="1009650" cy="269769"/>
          <wp:effectExtent l="19050" t="0" r="0" b="0"/>
          <wp:docPr id="2" name="Picture 1" descr="C:\Users\mkemerling\AppData\Local\Microsoft\Windows\Temporary Internet Files\Content.Outlook\V9KMVQVV\USG-CGC_EN-FR_primary (2).jpg"/>
          <wp:cNvGraphicFramePr/>
          <a:graphic xmlns:a="http://schemas.openxmlformats.org/drawingml/2006/main">
            <a:graphicData uri="http://schemas.openxmlformats.org/drawingml/2006/picture">
              <pic:pic xmlns:pic="http://schemas.openxmlformats.org/drawingml/2006/picture">
                <pic:nvPicPr>
                  <pic:cNvPr id="0" name="Picture 1" descr="C:\Users\mkemerling\AppData\Local\Microsoft\Windows\Temporary Internet Files\Content.Outlook\V9KMVQVV\USG-CGC_EN-FR_primary (2).jpg"/>
                  <pic:cNvPicPr>
                    <a:picLocks noChangeAspect="1" noChangeArrowheads="1"/>
                  </pic:cNvPicPr>
                </pic:nvPicPr>
                <pic:blipFill>
                  <a:blip r:embed="rId1"/>
                  <a:srcRect/>
                  <a:stretch>
                    <a:fillRect/>
                  </a:stretch>
                </pic:blipFill>
                <pic:spPr bwMode="auto">
                  <a:xfrm>
                    <a:off x="0" y="0"/>
                    <a:ext cx="1009650" cy="26976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953820A8"/>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3"/>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
      <w:lvlText w:val="%1.%4"/>
      <w:lvlJc w:val="left"/>
      <w:pPr>
        <w:tabs>
          <w:tab w:val="num" w:pos="864"/>
        </w:tabs>
        <w:ind w:left="864" w:hanging="864"/>
      </w:pPr>
      <w:rPr>
        <w:rFonts w:hint="default"/>
      </w:r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rFonts w:hint="default"/>
        <w:b w:val="0"/>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
    <w:nsid w:val="61513C33"/>
    <w:multiLevelType w:val="hybridMultilevel"/>
    <w:tmpl w:val="5C140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
  <w:docVars>
    <w:docVar w:name="DOI" w:val="06/01/13"/>
    <w:docVar w:name="Format" w:val="1"/>
    <w:docVar w:name="MF04" w:val="095123"/>
    <w:docVar w:name="MF95" w:val="09512"/>
    <w:docVar w:name="SectionID" w:val="271"/>
    <w:docVar w:name="SpecType" w:val="MasterSpec"/>
    <w:docVar w:name="Version" w:val="9846"/>
  </w:docVars>
  <w:rsids>
    <w:rsidRoot w:val="00750288"/>
    <w:rsid w:val="000006D3"/>
    <w:rsid w:val="00015CE0"/>
    <w:rsid w:val="00052EBF"/>
    <w:rsid w:val="00086E45"/>
    <w:rsid w:val="000A0220"/>
    <w:rsid w:val="000B0AA4"/>
    <w:rsid w:val="000E1A13"/>
    <w:rsid w:val="00102174"/>
    <w:rsid w:val="00113FF5"/>
    <w:rsid w:val="00114112"/>
    <w:rsid w:val="00171859"/>
    <w:rsid w:val="001B3037"/>
    <w:rsid w:val="001E2CEA"/>
    <w:rsid w:val="001F4C55"/>
    <w:rsid w:val="0022245A"/>
    <w:rsid w:val="003325A0"/>
    <w:rsid w:val="00337762"/>
    <w:rsid w:val="00356697"/>
    <w:rsid w:val="0039122F"/>
    <w:rsid w:val="004025D2"/>
    <w:rsid w:val="00404286"/>
    <w:rsid w:val="004171A1"/>
    <w:rsid w:val="004D1EB4"/>
    <w:rsid w:val="0050272C"/>
    <w:rsid w:val="005152D1"/>
    <w:rsid w:val="00524422"/>
    <w:rsid w:val="00557807"/>
    <w:rsid w:val="005658ED"/>
    <w:rsid w:val="005D2B47"/>
    <w:rsid w:val="005F4CCA"/>
    <w:rsid w:val="00606ADE"/>
    <w:rsid w:val="00610A0B"/>
    <w:rsid w:val="00675130"/>
    <w:rsid w:val="006943FC"/>
    <w:rsid w:val="006C579E"/>
    <w:rsid w:val="006E2CD1"/>
    <w:rsid w:val="00710C22"/>
    <w:rsid w:val="00745E2A"/>
    <w:rsid w:val="00750288"/>
    <w:rsid w:val="0078514C"/>
    <w:rsid w:val="007A1E4C"/>
    <w:rsid w:val="007C1ACA"/>
    <w:rsid w:val="007D77D9"/>
    <w:rsid w:val="007E3A28"/>
    <w:rsid w:val="008139DF"/>
    <w:rsid w:val="008754EE"/>
    <w:rsid w:val="008D3631"/>
    <w:rsid w:val="00901BF1"/>
    <w:rsid w:val="00905C24"/>
    <w:rsid w:val="00953A46"/>
    <w:rsid w:val="00954A55"/>
    <w:rsid w:val="009966CB"/>
    <w:rsid w:val="009C7D03"/>
    <w:rsid w:val="009E1FA4"/>
    <w:rsid w:val="00A1740C"/>
    <w:rsid w:val="00A25C9F"/>
    <w:rsid w:val="00A3434F"/>
    <w:rsid w:val="00A50852"/>
    <w:rsid w:val="00AA00DD"/>
    <w:rsid w:val="00AC5F3A"/>
    <w:rsid w:val="00AE1B29"/>
    <w:rsid w:val="00AF521D"/>
    <w:rsid w:val="00B5428F"/>
    <w:rsid w:val="00B775B9"/>
    <w:rsid w:val="00B945E8"/>
    <w:rsid w:val="00BB304D"/>
    <w:rsid w:val="00BC52AE"/>
    <w:rsid w:val="00BD2776"/>
    <w:rsid w:val="00BE2B6F"/>
    <w:rsid w:val="00C82650"/>
    <w:rsid w:val="00CA56AD"/>
    <w:rsid w:val="00D123CB"/>
    <w:rsid w:val="00D4788A"/>
    <w:rsid w:val="00D61E0C"/>
    <w:rsid w:val="00D82422"/>
    <w:rsid w:val="00E00797"/>
    <w:rsid w:val="00E16D3B"/>
    <w:rsid w:val="00E22A99"/>
    <w:rsid w:val="00E27925"/>
    <w:rsid w:val="00E62748"/>
    <w:rsid w:val="00E64107"/>
    <w:rsid w:val="00EB30EC"/>
    <w:rsid w:val="00EE3BD5"/>
    <w:rsid w:val="00EF5B63"/>
    <w:rsid w:val="00F706F1"/>
    <w:rsid w:val="00FC76DB"/>
    <w:rsid w:val="00FD3213"/>
    <w:rsid w:val="00FF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E8C6005-BAB3-417B-A6BC-3D44BF29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8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5428F"/>
    <w:pPr>
      <w:tabs>
        <w:tab w:val="center" w:pos="4608"/>
        <w:tab w:val="right" w:pos="9360"/>
      </w:tabs>
      <w:suppressAutoHyphens/>
      <w:jc w:val="both"/>
    </w:pPr>
  </w:style>
  <w:style w:type="paragraph" w:customStyle="1" w:styleId="FTR">
    <w:name w:val="FTR"/>
    <w:basedOn w:val="Normal"/>
    <w:rsid w:val="00B5428F"/>
    <w:pPr>
      <w:tabs>
        <w:tab w:val="right" w:pos="9360"/>
      </w:tabs>
      <w:suppressAutoHyphens/>
      <w:jc w:val="both"/>
    </w:pPr>
  </w:style>
  <w:style w:type="paragraph" w:customStyle="1" w:styleId="SCT">
    <w:name w:val="SCT"/>
    <w:basedOn w:val="Normal"/>
    <w:next w:val="PRT"/>
    <w:rsid w:val="00B5428F"/>
    <w:pPr>
      <w:suppressAutoHyphens/>
      <w:spacing w:before="240"/>
      <w:jc w:val="both"/>
    </w:pPr>
  </w:style>
  <w:style w:type="paragraph" w:customStyle="1" w:styleId="PRT">
    <w:name w:val="PRT"/>
    <w:basedOn w:val="Normal"/>
    <w:next w:val="ART"/>
    <w:rsid w:val="00B5428F"/>
    <w:pPr>
      <w:keepNext/>
      <w:numPr>
        <w:numId w:val="1"/>
      </w:numPr>
      <w:suppressAutoHyphens/>
      <w:spacing w:before="480"/>
      <w:jc w:val="both"/>
      <w:outlineLvl w:val="0"/>
    </w:pPr>
  </w:style>
  <w:style w:type="paragraph" w:customStyle="1" w:styleId="SUT">
    <w:name w:val="SUT"/>
    <w:basedOn w:val="Normal"/>
    <w:next w:val="PR1"/>
    <w:rsid w:val="00B5428F"/>
    <w:pPr>
      <w:numPr>
        <w:ilvl w:val="1"/>
        <w:numId w:val="1"/>
      </w:numPr>
      <w:suppressAutoHyphens/>
      <w:spacing w:before="240"/>
      <w:jc w:val="both"/>
      <w:outlineLvl w:val="0"/>
    </w:pPr>
  </w:style>
  <w:style w:type="paragraph" w:customStyle="1" w:styleId="DST">
    <w:name w:val="DST"/>
    <w:basedOn w:val="Normal"/>
    <w:next w:val="PR1"/>
    <w:rsid w:val="00B5428F"/>
    <w:pPr>
      <w:numPr>
        <w:ilvl w:val="2"/>
        <w:numId w:val="1"/>
      </w:numPr>
      <w:suppressAutoHyphens/>
      <w:spacing w:before="240"/>
      <w:jc w:val="both"/>
      <w:outlineLvl w:val="0"/>
    </w:pPr>
  </w:style>
  <w:style w:type="paragraph" w:customStyle="1" w:styleId="ART">
    <w:name w:val="ART"/>
    <w:basedOn w:val="Normal"/>
    <w:next w:val="PR1"/>
    <w:rsid w:val="00B5428F"/>
    <w:pPr>
      <w:keepNext/>
      <w:numPr>
        <w:ilvl w:val="3"/>
        <w:numId w:val="1"/>
      </w:numPr>
      <w:suppressAutoHyphens/>
      <w:spacing w:before="480"/>
      <w:jc w:val="both"/>
      <w:outlineLvl w:val="1"/>
    </w:pPr>
  </w:style>
  <w:style w:type="paragraph" w:customStyle="1" w:styleId="PR1">
    <w:name w:val="PR1"/>
    <w:basedOn w:val="Normal"/>
    <w:rsid w:val="00B5428F"/>
    <w:pPr>
      <w:numPr>
        <w:ilvl w:val="4"/>
        <w:numId w:val="1"/>
      </w:numPr>
      <w:suppressAutoHyphens/>
      <w:spacing w:before="240"/>
      <w:jc w:val="both"/>
      <w:outlineLvl w:val="2"/>
    </w:pPr>
  </w:style>
  <w:style w:type="paragraph" w:customStyle="1" w:styleId="PR2">
    <w:name w:val="PR2"/>
    <w:basedOn w:val="Normal"/>
    <w:rsid w:val="00B5428F"/>
    <w:pPr>
      <w:numPr>
        <w:ilvl w:val="5"/>
        <w:numId w:val="1"/>
      </w:numPr>
      <w:suppressAutoHyphens/>
      <w:jc w:val="both"/>
      <w:outlineLvl w:val="3"/>
    </w:pPr>
  </w:style>
  <w:style w:type="paragraph" w:customStyle="1" w:styleId="PR3">
    <w:name w:val="PR3"/>
    <w:basedOn w:val="Normal"/>
    <w:rsid w:val="00B5428F"/>
    <w:pPr>
      <w:numPr>
        <w:ilvl w:val="6"/>
        <w:numId w:val="1"/>
      </w:numPr>
      <w:suppressAutoHyphens/>
      <w:jc w:val="both"/>
      <w:outlineLvl w:val="4"/>
    </w:pPr>
  </w:style>
  <w:style w:type="paragraph" w:customStyle="1" w:styleId="PR4">
    <w:name w:val="PR4"/>
    <w:basedOn w:val="Normal"/>
    <w:rsid w:val="00B5428F"/>
    <w:pPr>
      <w:numPr>
        <w:ilvl w:val="7"/>
        <w:numId w:val="1"/>
      </w:numPr>
      <w:suppressAutoHyphens/>
      <w:jc w:val="both"/>
      <w:outlineLvl w:val="5"/>
    </w:pPr>
  </w:style>
  <w:style w:type="paragraph" w:customStyle="1" w:styleId="PR5">
    <w:name w:val="PR5"/>
    <w:basedOn w:val="Normal"/>
    <w:rsid w:val="00B5428F"/>
    <w:pPr>
      <w:numPr>
        <w:ilvl w:val="8"/>
        <w:numId w:val="1"/>
      </w:numPr>
      <w:suppressAutoHyphens/>
      <w:jc w:val="both"/>
      <w:outlineLvl w:val="6"/>
    </w:pPr>
  </w:style>
  <w:style w:type="paragraph" w:customStyle="1" w:styleId="TB1">
    <w:name w:val="TB1"/>
    <w:basedOn w:val="Normal"/>
    <w:next w:val="PR1"/>
    <w:rsid w:val="00B5428F"/>
    <w:pPr>
      <w:suppressAutoHyphens/>
      <w:spacing w:before="240"/>
      <w:ind w:left="288"/>
      <w:jc w:val="both"/>
    </w:pPr>
  </w:style>
  <w:style w:type="paragraph" w:customStyle="1" w:styleId="TB2">
    <w:name w:val="TB2"/>
    <w:basedOn w:val="Normal"/>
    <w:next w:val="PR2"/>
    <w:rsid w:val="00B5428F"/>
    <w:pPr>
      <w:suppressAutoHyphens/>
      <w:spacing w:before="240"/>
      <w:ind w:left="864"/>
      <w:jc w:val="both"/>
    </w:pPr>
  </w:style>
  <w:style w:type="paragraph" w:customStyle="1" w:styleId="TB3">
    <w:name w:val="TB3"/>
    <w:basedOn w:val="Normal"/>
    <w:next w:val="PR3"/>
    <w:rsid w:val="00B5428F"/>
    <w:pPr>
      <w:suppressAutoHyphens/>
      <w:spacing w:before="240"/>
      <w:ind w:left="1440"/>
      <w:jc w:val="both"/>
    </w:pPr>
  </w:style>
  <w:style w:type="paragraph" w:customStyle="1" w:styleId="TB4">
    <w:name w:val="TB4"/>
    <w:basedOn w:val="Normal"/>
    <w:next w:val="PR4"/>
    <w:rsid w:val="00B5428F"/>
    <w:pPr>
      <w:suppressAutoHyphens/>
      <w:spacing w:before="240"/>
      <w:ind w:left="2016"/>
      <w:jc w:val="both"/>
    </w:pPr>
  </w:style>
  <w:style w:type="paragraph" w:customStyle="1" w:styleId="TB5">
    <w:name w:val="TB5"/>
    <w:basedOn w:val="Normal"/>
    <w:next w:val="PR5"/>
    <w:rsid w:val="00B5428F"/>
    <w:pPr>
      <w:suppressAutoHyphens/>
      <w:spacing w:before="240"/>
      <w:ind w:left="2592"/>
      <w:jc w:val="both"/>
    </w:pPr>
  </w:style>
  <w:style w:type="paragraph" w:customStyle="1" w:styleId="TF1">
    <w:name w:val="TF1"/>
    <w:basedOn w:val="Normal"/>
    <w:next w:val="TB1"/>
    <w:rsid w:val="00B5428F"/>
    <w:pPr>
      <w:suppressAutoHyphens/>
      <w:spacing w:before="240"/>
      <w:ind w:left="288"/>
      <w:jc w:val="both"/>
    </w:pPr>
  </w:style>
  <w:style w:type="paragraph" w:customStyle="1" w:styleId="TF2">
    <w:name w:val="TF2"/>
    <w:basedOn w:val="Normal"/>
    <w:next w:val="TB2"/>
    <w:rsid w:val="00B5428F"/>
    <w:pPr>
      <w:suppressAutoHyphens/>
      <w:spacing w:before="240"/>
      <w:ind w:left="864"/>
      <w:jc w:val="both"/>
    </w:pPr>
  </w:style>
  <w:style w:type="paragraph" w:customStyle="1" w:styleId="TF3">
    <w:name w:val="TF3"/>
    <w:basedOn w:val="Normal"/>
    <w:next w:val="TB3"/>
    <w:rsid w:val="00B5428F"/>
    <w:pPr>
      <w:suppressAutoHyphens/>
      <w:spacing w:before="240"/>
      <w:ind w:left="1440"/>
      <w:jc w:val="both"/>
    </w:pPr>
  </w:style>
  <w:style w:type="paragraph" w:customStyle="1" w:styleId="TF4">
    <w:name w:val="TF4"/>
    <w:basedOn w:val="Normal"/>
    <w:next w:val="TB4"/>
    <w:rsid w:val="00B5428F"/>
    <w:pPr>
      <w:suppressAutoHyphens/>
      <w:spacing w:before="240"/>
      <w:ind w:left="2016"/>
      <w:jc w:val="both"/>
    </w:pPr>
  </w:style>
  <w:style w:type="paragraph" w:customStyle="1" w:styleId="TF5">
    <w:name w:val="TF5"/>
    <w:basedOn w:val="Normal"/>
    <w:next w:val="TB5"/>
    <w:rsid w:val="00B5428F"/>
    <w:pPr>
      <w:suppressAutoHyphens/>
      <w:spacing w:before="240"/>
      <w:ind w:left="2592"/>
      <w:jc w:val="both"/>
    </w:pPr>
  </w:style>
  <w:style w:type="paragraph" w:customStyle="1" w:styleId="TCH">
    <w:name w:val="TCH"/>
    <w:basedOn w:val="Normal"/>
    <w:rsid w:val="00B5428F"/>
    <w:pPr>
      <w:suppressAutoHyphens/>
    </w:pPr>
  </w:style>
  <w:style w:type="paragraph" w:customStyle="1" w:styleId="TCE">
    <w:name w:val="TCE"/>
    <w:basedOn w:val="Normal"/>
    <w:rsid w:val="00B5428F"/>
    <w:pPr>
      <w:suppressAutoHyphens/>
      <w:ind w:left="144" w:hanging="144"/>
    </w:pPr>
  </w:style>
  <w:style w:type="paragraph" w:customStyle="1" w:styleId="EOS">
    <w:name w:val="EOS"/>
    <w:basedOn w:val="Normal"/>
    <w:rsid w:val="00B5428F"/>
    <w:pPr>
      <w:suppressAutoHyphens/>
      <w:spacing w:before="480"/>
      <w:jc w:val="both"/>
    </w:pPr>
  </w:style>
  <w:style w:type="paragraph" w:customStyle="1" w:styleId="ANT">
    <w:name w:val="ANT"/>
    <w:basedOn w:val="Normal"/>
    <w:rsid w:val="00B5428F"/>
    <w:pPr>
      <w:suppressAutoHyphens/>
      <w:spacing w:before="240"/>
      <w:jc w:val="both"/>
    </w:pPr>
    <w:rPr>
      <w:vanish/>
      <w:color w:val="800080"/>
      <w:u w:val="single"/>
    </w:rPr>
  </w:style>
  <w:style w:type="paragraph" w:customStyle="1" w:styleId="CMT">
    <w:name w:val="CMT"/>
    <w:basedOn w:val="Normal"/>
    <w:link w:val="CMTChar"/>
    <w:rsid w:val="00B5428F"/>
    <w:pPr>
      <w:suppressAutoHyphens/>
      <w:spacing w:before="240"/>
      <w:jc w:val="both"/>
    </w:pPr>
    <w:rPr>
      <w:vanish/>
      <w:color w:val="0000FF"/>
    </w:rPr>
  </w:style>
  <w:style w:type="character" w:customStyle="1" w:styleId="CPR">
    <w:name w:val="CPR"/>
    <w:basedOn w:val="DefaultParagraphFont"/>
    <w:rsid w:val="00B5428F"/>
  </w:style>
  <w:style w:type="character" w:customStyle="1" w:styleId="SPN">
    <w:name w:val="SPN"/>
    <w:basedOn w:val="DefaultParagraphFont"/>
    <w:rsid w:val="00B5428F"/>
  </w:style>
  <w:style w:type="character" w:customStyle="1" w:styleId="SPD">
    <w:name w:val="SPD"/>
    <w:basedOn w:val="DefaultParagraphFont"/>
    <w:rsid w:val="00B5428F"/>
  </w:style>
  <w:style w:type="character" w:customStyle="1" w:styleId="NUM">
    <w:name w:val="NUM"/>
    <w:basedOn w:val="DefaultParagraphFont"/>
    <w:rsid w:val="00B5428F"/>
  </w:style>
  <w:style w:type="character" w:customStyle="1" w:styleId="NAM">
    <w:name w:val="NAM"/>
    <w:basedOn w:val="DefaultParagraphFont"/>
    <w:rsid w:val="00B5428F"/>
  </w:style>
  <w:style w:type="character" w:customStyle="1" w:styleId="SI">
    <w:name w:val="SI"/>
    <w:rsid w:val="00B5428F"/>
    <w:rPr>
      <w:color w:val="008080"/>
    </w:rPr>
  </w:style>
  <w:style w:type="character" w:customStyle="1" w:styleId="IP">
    <w:name w:val="IP"/>
    <w:rsid w:val="00B5428F"/>
    <w:rPr>
      <w:color w:val="FF0000"/>
    </w:rPr>
  </w:style>
  <w:style w:type="paragraph" w:customStyle="1" w:styleId="RJUST">
    <w:name w:val="RJUST"/>
    <w:basedOn w:val="Normal"/>
    <w:rsid w:val="00B5428F"/>
    <w:pPr>
      <w:jc w:val="right"/>
    </w:pPr>
  </w:style>
  <w:style w:type="character" w:customStyle="1" w:styleId="SAhyperlink">
    <w:name w:val="SAhyperlink"/>
    <w:uiPriority w:val="1"/>
    <w:qFormat/>
    <w:rsid w:val="00750288"/>
    <w:rPr>
      <w:color w:val="E36C0A"/>
      <w:u w:val="single"/>
    </w:rPr>
  </w:style>
  <w:style w:type="character" w:styleId="Hyperlink">
    <w:name w:val="Hyperlink"/>
    <w:uiPriority w:val="99"/>
    <w:unhideWhenUsed/>
    <w:rsid w:val="00750288"/>
    <w:rPr>
      <w:color w:val="0000FF"/>
      <w:u w:val="single"/>
    </w:rPr>
  </w:style>
  <w:style w:type="paragraph" w:styleId="Header">
    <w:name w:val="header"/>
    <w:basedOn w:val="Normal"/>
    <w:link w:val="HeaderChar"/>
    <w:uiPriority w:val="99"/>
    <w:unhideWhenUsed/>
    <w:rsid w:val="00052EBF"/>
    <w:pPr>
      <w:tabs>
        <w:tab w:val="center" w:pos="4680"/>
        <w:tab w:val="right" w:pos="9360"/>
      </w:tabs>
    </w:pPr>
  </w:style>
  <w:style w:type="character" w:customStyle="1" w:styleId="HeaderChar">
    <w:name w:val="Header Char"/>
    <w:basedOn w:val="DefaultParagraphFont"/>
    <w:link w:val="Header"/>
    <w:uiPriority w:val="99"/>
    <w:rsid w:val="00052EBF"/>
  </w:style>
  <w:style w:type="paragraph" w:styleId="Footer">
    <w:name w:val="footer"/>
    <w:basedOn w:val="Normal"/>
    <w:link w:val="FooterChar"/>
    <w:uiPriority w:val="99"/>
    <w:unhideWhenUsed/>
    <w:rsid w:val="00052EBF"/>
    <w:pPr>
      <w:tabs>
        <w:tab w:val="center" w:pos="4680"/>
        <w:tab w:val="right" w:pos="9360"/>
      </w:tabs>
    </w:pPr>
  </w:style>
  <w:style w:type="character" w:customStyle="1" w:styleId="FooterChar">
    <w:name w:val="Footer Char"/>
    <w:basedOn w:val="DefaultParagraphFont"/>
    <w:link w:val="Footer"/>
    <w:uiPriority w:val="99"/>
    <w:rsid w:val="00052EBF"/>
  </w:style>
  <w:style w:type="paragraph" w:customStyle="1" w:styleId="TIP">
    <w:name w:val="TIP"/>
    <w:basedOn w:val="Normal"/>
    <w:link w:val="TIPChar"/>
    <w:rsid w:val="008139D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139DF"/>
    <w:rPr>
      <w:vanish/>
      <w:color w:val="0000FF"/>
    </w:rPr>
  </w:style>
  <w:style w:type="character" w:customStyle="1" w:styleId="TIPChar">
    <w:name w:val="TIP Char"/>
    <w:link w:val="TIP"/>
    <w:rsid w:val="008139DF"/>
    <w:rPr>
      <w:vanish w:val="0"/>
      <w:color w:val="B30838"/>
    </w:rPr>
  </w:style>
  <w:style w:type="paragraph" w:styleId="NoSpacing">
    <w:name w:val="No Spacing"/>
    <w:uiPriority w:val="1"/>
    <w:qFormat/>
    <w:rsid w:val="00C82650"/>
    <w:rPr>
      <w:sz w:val="22"/>
    </w:rPr>
  </w:style>
  <w:style w:type="paragraph" w:styleId="BalloonText">
    <w:name w:val="Balloon Text"/>
    <w:basedOn w:val="Normal"/>
    <w:link w:val="BalloonTextChar"/>
    <w:uiPriority w:val="99"/>
    <w:semiHidden/>
    <w:unhideWhenUsed/>
    <w:rsid w:val="000B0AA4"/>
    <w:rPr>
      <w:rFonts w:ascii="Tahoma" w:hAnsi="Tahoma" w:cs="Tahoma"/>
      <w:sz w:val="16"/>
      <w:szCs w:val="16"/>
    </w:rPr>
  </w:style>
  <w:style w:type="character" w:customStyle="1" w:styleId="BalloonTextChar">
    <w:name w:val="Balloon Text Char"/>
    <w:basedOn w:val="DefaultParagraphFont"/>
    <w:link w:val="BalloonText"/>
    <w:uiPriority w:val="99"/>
    <w:semiHidden/>
    <w:rsid w:val="000B0A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33">
      <w:bodyDiv w:val="1"/>
      <w:marLeft w:val="0"/>
      <w:marRight w:val="0"/>
      <w:marTop w:val="0"/>
      <w:marBottom w:val="0"/>
      <w:divBdr>
        <w:top w:val="none" w:sz="0" w:space="0" w:color="auto"/>
        <w:left w:val="none" w:sz="0" w:space="0" w:color="auto"/>
        <w:bottom w:val="none" w:sz="0" w:space="0" w:color="auto"/>
        <w:right w:val="none" w:sz="0" w:space="0" w:color="auto"/>
      </w:divBdr>
    </w:div>
    <w:div w:id="224533074">
      <w:bodyDiv w:val="1"/>
      <w:marLeft w:val="0"/>
      <w:marRight w:val="0"/>
      <w:marTop w:val="0"/>
      <w:marBottom w:val="0"/>
      <w:divBdr>
        <w:top w:val="none" w:sz="0" w:space="0" w:color="auto"/>
        <w:left w:val="none" w:sz="0" w:space="0" w:color="auto"/>
        <w:bottom w:val="none" w:sz="0" w:space="0" w:color="auto"/>
        <w:right w:val="none" w:sz="0" w:space="0" w:color="auto"/>
      </w:divBdr>
    </w:div>
    <w:div w:id="77459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095123 USG Sheetrock® Brand Lay-In Acoustical Tile Ceilings Architectural Specification (English) - SC2721</vt:lpstr>
    </vt:vector>
  </TitlesOfParts>
  <Company>USG Corporation</Company>
  <LinksUpToDate>false</LinksUpToDate>
  <CharactersWithSpaces>3827</CharactersWithSpaces>
  <SharedDoc>false</SharedDoc>
  <HLinks>
    <vt:vector size="30" baseType="variant">
      <vt:variant>
        <vt:i4>7536740</vt:i4>
      </vt:variant>
      <vt:variant>
        <vt:i4>12</vt:i4>
      </vt:variant>
      <vt:variant>
        <vt:i4>0</vt:i4>
      </vt:variant>
      <vt:variant>
        <vt:i4>5</vt:i4>
      </vt:variant>
      <vt:variant>
        <vt:lpwstr>http://www.specagent.com/LookUp/?ulid=353&amp;mf=04&amp;src=wd</vt:lpwstr>
      </vt:variant>
      <vt:variant>
        <vt:lpwstr/>
      </vt:variant>
      <vt:variant>
        <vt:i4>7536741</vt:i4>
      </vt:variant>
      <vt:variant>
        <vt:i4>9</vt:i4>
      </vt:variant>
      <vt:variant>
        <vt:i4>0</vt:i4>
      </vt:variant>
      <vt:variant>
        <vt:i4>5</vt:i4>
      </vt:variant>
      <vt:variant>
        <vt:lpwstr>http://www.specagent.com/LookUp/?ulid=352&amp;mf=04&amp;src=wd</vt:lpwstr>
      </vt:variant>
      <vt:variant>
        <vt:lpwstr/>
      </vt:variant>
      <vt:variant>
        <vt:i4>7536742</vt:i4>
      </vt:variant>
      <vt:variant>
        <vt:i4>6</vt:i4>
      </vt:variant>
      <vt:variant>
        <vt:i4>0</vt:i4>
      </vt:variant>
      <vt:variant>
        <vt:i4>5</vt:i4>
      </vt:variant>
      <vt:variant>
        <vt:lpwstr>http://www.specagent.com/LookUp/?ulid=351&amp;mf=04&amp;src=wd</vt:lpwstr>
      </vt:variant>
      <vt:variant>
        <vt:lpwstr/>
      </vt:variant>
      <vt:variant>
        <vt:i4>7536743</vt:i4>
      </vt:variant>
      <vt:variant>
        <vt:i4>3</vt:i4>
      </vt:variant>
      <vt:variant>
        <vt:i4>0</vt:i4>
      </vt:variant>
      <vt:variant>
        <vt:i4>5</vt:i4>
      </vt:variant>
      <vt:variant>
        <vt:lpwstr>http://www.specagent.com/LookUp/?ulid=350&amp;mf=04&amp;src=wd</vt:lpwstr>
      </vt:variant>
      <vt:variant>
        <vt:lpwstr/>
      </vt:variant>
      <vt:variant>
        <vt:i4>7471214</vt:i4>
      </vt:variant>
      <vt:variant>
        <vt:i4>0</vt:i4>
      </vt:variant>
      <vt:variant>
        <vt:i4>0</vt:i4>
      </vt:variant>
      <vt:variant>
        <vt:i4>5</vt:i4>
      </vt:variant>
      <vt:variant>
        <vt:lpwstr>http://www.specagent.com/LookUp/?ulid=349&amp;mf=04&amp;src=wd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095123 USG Sheetrock® Brand Lay-In Acoustical Tile Ceilings Architectural Specification (English) - SC2721</dc:title>
  <dc:subject>Section 095123 USG Sheetrock® Brand Lay-In Acoustical Tile Ceilings Architectural Specification (English) - SC2721</dc:subject>
  <dc:creator>Colin N Craig</dc:creator>
  <cp:keywords>Sheetrock Lay-In Panel, SC2721</cp:keywords>
  <cp:lastModifiedBy>Johns, Tina</cp:lastModifiedBy>
  <cp:revision>23</cp:revision>
  <cp:lastPrinted>2015-02-25T20:16:00Z</cp:lastPrinted>
  <dcterms:created xsi:type="dcterms:W3CDTF">2015-04-29T17:27:00Z</dcterms:created>
  <dcterms:modified xsi:type="dcterms:W3CDTF">2017-02-17T20:01:00Z</dcterms:modified>
</cp:coreProperties>
</file>