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patina, I0511</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SSP® Shaw Soil Protection</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12 in x 48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1/10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9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Finished0.088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9409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0.263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