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homegrain 12, I490V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ASTM F1700 Class III printed film vinyl tile Type B (embossed)</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12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0.079 inches (2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6 in x 48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