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78C72D73"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961B8B">
        <w:rPr>
          <w:rFonts w:ascii="Arial" w:hAnsi="Arial" w:cs="Arial"/>
          <w:sz w:val="20"/>
          <w:szCs w:val="20"/>
        </w:rPr>
        <w:t>920</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37777C">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37777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37777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37777C">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37777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37777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37777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37777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37777C">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37777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37777C">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37777C">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37777C">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37777C">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37777C">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37777C">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37777C">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37777C">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37777C">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37777C">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37777C">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4CE333C1" w:rsidR="003939C2" w:rsidRPr="00D67C65" w:rsidRDefault="003939C2" w:rsidP="0037777C">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37777C">
        <w:rPr>
          <w:rFonts w:ascii="Arial" w:hAnsi="Arial" w:cs="Arial"/>
          <w:sz w:val="20"/>
          <w:szCs w:val="20"/>
        </w:rPr>
        <w:t>01</w:t>
      </w:r>
      <w:r w:rsidRPr="00D67C65">
        <w:rPr>
          <w:rFonts w:ascii="Arial" w:hAnsi="Arial" w:cs="Arial"/>
          <w:sz w:val="20"/>
          <w:szCs w:val="20"/>
        </w:rPr>
        <w:t>40</w:t>
      </w:r>
      <w:r w:rsidR="0037777C">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37777C">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4CE2967A" w14:textId="77777777" w:rsidR="0037777C" w:rsidRDefault="0037777C" w:rsidP="0037777C">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2BB398BE" w14:textId="77777777" w:rsidR="0037777C" w:rsidRDefault="0037777C" w:rsidP="0037777C">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23F7835F" w14:textId="77777777" w:rsidR="0037777C" w:rsidRDefault="0037777C" w:rsidP="0037777C">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69779EE3" w14:textId="77777777" w:rsidR="0037777C" w:rsidRDefault="0037777C" w:rsidP="0037777C">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2D176054" w14:textId="77777777" w:rsidR="0037777C" w:rsidRDefault="0037777C" w:rsidP="0037777C">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37777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37777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37777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37777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37777C">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37777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37777C">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37777C">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37777C">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37777C">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37777C">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37777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37777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1167EFC7" w:rsidR="003939C2" w:rsidRPr="00AB5806" w:rsidRDefault="003939C2" w:rsidP="0037777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37777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37777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107074EC" w:rsidR="003939C2" w:rsidRPr="00AB5806" w:rsidRDefault="003939C2" w:rsidP="0037777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37777C">
        <w:rPr>
          <w:rFonts w:ascii="Arial" w:hAnsi="Arial" w:cs="Arial"/>
          <w:sz w:val="20"/>
          <w:szCs w:val="20"/>
        </w:rPr>
        <w:t xml:space="preserve">phthalate </w:t>
      </w:r>
      <w:r w:rsidRPr="00AB5806">
        <w:rPr>
          <w:rFonts w:ascii="Arial" w:hAnsi="Arial" w:cs="Arial"/>
          <w:sz w:val="20"/>
          <w:szCs w:val="20"/>
        </w:rPr>
        <w:t>plasticizers.</w:t>
      </w:r>
    </w:p>
    <w:p w14:paraId="32C274D5" w14:textId="4DE10348" w:rsidR="003939C2" w:rsidRPr="00AB5806" w:rsidRDefault="003939C2" w:rsidP="0037777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37777C">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37777C">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37777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37777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37777C">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37777C">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37777C">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45972987" w14:textId="61A5BFBB" w:rsidR="007E0E2F" w:rsidRPr="00AB5806" w:rsidRDefault="0050166D" w:rsidP="0050166D">
      <w:pPr>
        <w:spacing w:before="240"/>
        <w:rPr>
          <w:rFonts w:ascii="Arial" w:hAnsi="Arial" w:cs="Arial"/>
          <w:sz w:val="20"/>
          <w:szCs w:val="20"/>
        </w:rPr>
      </w:pPr>
      <w:r w:rsidRPr="00AB5806">
        <w:rPr>
          <w:rFonts w:ascii="Arial" w:hAnsi="Arial" w:cs="Arial"/>
          <w:sz w:val="20"/>
          <w:szCs w:val="20"/>
        </w:rPr>
        <w:t>2.</w:t>
      </w:r>
      <w:r w:rsidR="00961B8B">
        <w:rPr>
          <w:rFonts w:ascii="Arial" w:hAnsi="Arial" w:cs="Arial"/>
          <w:sz w:val="20"/>
          <w:szCs w:val="20"/>
        </w:rPr>
        <w:t>2</w:t>
      </w:r>
      <w:r w:rsidRPr="00AB5806">
        <w:rPr>
          <w:rFonts w:ascii="Arial" w:hAnsi="Arial" w:cs="Arial"/>
          <w:sz w:val="20"/>
          <w:szCs w:val="20"/>
        </w:rPr>
        <w:t xml:space="preserve"> </w:t>
      </w:r>
      <w:r w:rsidR="007E0E2F" w:rsidRPr="00AB5806">
        <w:rPr>
          <w:rFonts w:ascii="Arial" w:hAnsi="Arial" w:cs="Arial"/>
          <w:sz w:val="20"/>
          <w:szCs w:val="20"/>
        </w:rPr>
        <w:t>RESILIENT TILE FLOORING FOR SPECIAL FIRE REQUIREMENTS</w:t>
      </w:r>
    </w:p>
    <w:p w14:paraId="53210CEA" w14:textId="77777777" w:rsidR="007E0E2F" w:rsidRPr="00AB5806" w:rsidRDefault="007E0E2F" w:rsidP="0037777C">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50166D" w:rsidRPr="00AB5806" w14:paraId="339FEDEE" w14:textId="77777777" w:rsidTr="000E612F">
        <w:tc>
          <w:tcPr>
            <w:tcW w:w="450" w:type="dxa"/>
            <w:shd w:val="clear" w:color="auto" w:fill="auto"/>
          </w:tcPr>
          <w:p w14:paraId="35F943ED"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6AFA98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0C084085" w14:textId="77777777" w:rsidR="0050166D" w:rsidRPr="00AB5806" w:rsidRDefault="0050166D"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920, Article 354</w:t>
            </w:r>
          </w:p>
        </w:tc>
      </w:tr>
      <w:tr w:rsidR="0050166D" w:rsidRPr="00AB5806" w14:paraId="725C9C34" w14:textId="77777777" w:rsidTr="000E612F">
        <w:tc>
          <w:tcPr>
            <w:tcW w:w="450" w:type="dxa"/>
            <w:shd w:val="clear" w:color="auto" w:fill="auto"/>
          </w:tcPr>
          <w:p w14:paraId="1977A578"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E13B68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754EFD6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Type IA and Grade 1</w:t>
            </w:r>
          </w:p>
        </w:tc>
      </w:tr>
      <w:tr w:rsidR="0050166D" w:rsidRPr="00AB5806" w14:paraId="3D0A326F" w14:textId="77777777" w:rsidTr="000E612F">
        <w:tc>
          <w:tcPr>
            <w:tcW w:w="450" w:type="dxa"/>
            <w:shd w:val="clear" w:color="auto" w:fill="auto"/>
          </w:tcPr>
          <w:p w14:paraId="65E168DB"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3807E0A"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43700F5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tc>
      </w:tr>
      <w:tr w:rsidR="0050166D" w:rsidRPr="00AB5806" w14:paraId="72A1C323" w14:textId="77777777" w:rsidTr="000E612F">
        <w:tc>
          <w:tcPr>
            <w:tcW w:w="450" w:type="dxa"/>
            <w:shd w:val="clear" w:color="auto" w:fill="auto"/>
          </w:tcPr>
          <w:p w14:paraId="4B3DA963"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798055F"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3E12CF26" w14:textId="26FA8E80"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nora vulcanized rubber compound 920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0166D" w:rsidRPr="00AB5806" w14:paraId="5374A453" w14:textId="77777777" w:rsidTr="000E612F">
        <w:tc>
          <w:tcPr>
            <w:tcW w:w="450" w:type="dxa"/>
            <w:shd w:val="clear" w:color="auto" w:fill="auto"/>
          </w:tcPr>
          <w:p w14:paraId="42C809DB"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F2EDF0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142E68B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Homogeneous</w:t>
            </w:r>
          </w:p>
        </w:tc>
      </w:tr>
      <w:tr w:rsidR="0050166D" w:rsidRPr="00AB5806" w14:paraId="6CEB3E5F" w14:textId="77777777" w:rsidTr="000E612F">
        <w:tc>
          <w:tcPr>
            <w:tcW w:w="450" w:type="dxa"/>
            <w:shd w:val="clear" w:color="auto" w:fill="auto"/>
          </w:tcPr>
          <w:p w14:paraId="3CD0EE8D"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65C6E5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1302C925"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4 standard colors</w:t>
            </w:r>
          </w:p>
        </w:tc>
      </w:tr>
      <w:tr w:rsidR="0050166D" w:rsidRPr="00AB5806" w14:paraId="451C0D66" w14:textId="77777777" w:rsidTr="000E612F">
        <w:tc>
          <w:tcPr>
            <w:tcW w:w="450" w:type="dxa"/>
            <w:shd w:val="clear" w:color="auto" w:fill="auto"/>
          </w:tcPr>
          <w:p w14:paraId="17C4A99E"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EABC37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4E76F82F" w14:textId="7B36113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Round</w:t>
            </w:r>
            <w:r w:rsidR="00A63141" w:rsidRPr="00AB5806">
              <w:rPr>
                <w:rFonts w:ascii="Arial" w:hAnsi="Arial" w:cs="Arial"/>
                <w:sz w:val="20"/>
                <w:szCs w:val="20"/>
              </w:rPr>
              <w:t xml:space="preserve"> pastille</w:t>
            </w:r>
          </w:p>
        </w:tc>
      </w:tr>
      <w:tr w:rsidR="0050166D" w:rsidRPr="00AB5806" w14:paraId="036904EC" w14:textId="77777777" w:rsidTr="000E612F">
        <w:tc>
          <w:tcPr>
            <w:tcW w:w="450" w:type="dxa"/>
            <w:shd w:val="clear" w:color="auto" w:fill="auto"/>
          </w:tcPr>
          <w:p w14:paraId="603AD23A"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B9FE28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4FC2E8C7"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Double-sanded smooth</w:t>
            </w:r>
          </w:p>
        </w:tc>
      </w:tr>
      <w:tr w:rsidR="0050166D" w:rsidRPr="00AB5806" w14:paraId="353C9EFB" w14:textId="77777777" w:rsidTr="000E612F">
        <w:tc>
          <w:tcPr>
            <w:tcW w:w="450" w:type="dxa"/>
            <w:shd w:val="clear" w:color="auto" w:fill="auto"/>
          </w:tcPr>
          <w:p w14:paraId="6EEE710D"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C73FD1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 Size</w:t>
            </w:r>
            <w:r w:rsidR="000575CF" w:rsidRPr="00AB5806">
              <w:rPr>
                <w:rFonts w:ascii="Arial" w:hAnsi="Arial" w:cs="Arial"/>
                <w:sz w:val="20"/>
                <w:szCs w:val="20"/>
              </w:rPr>
              <w:t xml:space="preserve"> for Tile</w:t>
            </w:r>
            <w:r w:rsidRPr="00AB5806">
              <w:rPr>
                <w:rFonts w:ascii="Arial" w:hAnsi="Arial" w:cs="Arial"/>
                <w:sz w:val="20"/>
                <w:szCs w:val="20"/>
              </w:rPr>
              <w:t xml:space="preserve"> (ASTM F2055):</w:t>
            </w:r>
            <w:r w:rsidRPr="00AB5806">
              <w:rPr>
                <w:rFonts w:ascii="Arial" w:hAnsi="Arial" w:cs="Arial"/>
                <w:sz w:val="20"/>
                <w:szCs w:val="20"/>
              </w:rPr>
              <w:br/>
              <w:t>± 0.02 inch (± 0.5mm) is required</w:t>
            </w:r>
          </w:p>
        </w:tc>
        <w:tc>
          <w:tcPr>
            <w:tcW w:w="5688" w:type="dxa"/>
            <w:shd w:val="clear" w:color="auto" w:fill="auto"/>
          </w:tcPr>
          <w:p w14:paraId="18C0BDC3"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39.61 inches by 39.61 inches (1006mm by 1006mm) </w:t>
            </w:r>
          </w:p>
        </w:tc>
      </w:tr>
      <w:tr w:rsidR="0050166D" w:rsidRPr="00AB5806" w14:paraId="3890132B" w14:textId="77777777" w:rsidTr="000E612F">
        <w:tc>
          <w:tcPr>
            <w:tcW w:w="450" w:type="dxa"/>
            <w:shd w:val="clear" w:color="auto" w:fill="auto"/>
          </w:tcPr>
          <w:p w14:paraId="71ABE569"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A8CF25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688" w:type="dxa"/>
            <w:shd w:val="clear" w:color="auto" w:fill="auto"/>
          </w:tcPr>
          <w:p w14:paraId="3C3AD87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Meets requirements </w:t>
            </w:r>
          </w:p>
        </w:tc>
      </w:tr>
      <w:tr w:rsidR="0050166D" w:rsidRPr="00AB5806" w14:paraId="16E6561A" w14:textId="77777777" w:rsidTr="000E612F">
        <w:tc>
          <w:tcPr>
            <w:tcW w:w="450" w:type="dxa"/>
            <w:shd w:val="clear" w:color="auto" w:fill="auto"/>
          </w:tcPr>
          <w:p w14:paraId="0A3C37B5"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331E17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 mm) is required</w:t>
            </w:r>
          </w:p>
        </w:tc>
        <w:tc>
          <w:tcPr>
            <w:tcW w:w="5688" w:type="dxa"/>
            <w:shd w:val="clear" w:color="auto" w:fill="auto"/>
          </w:tcPr>
          <w:p w14:paraId="6BA43DDE"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0.16 inches (4.0mm)</w:t>
            </w:r>
          </w:p>
        </w:tc>
      </w:tr>
      <w:tr w:rsidR="0050166D" w:rsidRPr="00AB5806" w14:paraId="7254A41B" w14:textId="77777777" w:rsidTr="000E612F">
        <w:tc>
          <w:tcPr>
            <w:tcW w:w="450" w:type="dxa"/>
            <w:shd w:val="clear" w:color="auto" w:fill="auto"/>
          </w:tcPr>
          <w:p w14:paraId="1D81DF04"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A555F71"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583B345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Meets requirements</w:t>
            </w:r>
          </w:p>
        </w:tc>
      </w:tr>
      <w:tr w:rsidR="0050166D" w:rsidRPr="00AB5806" w14:paraId="31CD005A" w14:textId="77777777" w:rsidTr="000E612F">
        <w:tc>
          <w:tcPr>
            <w:tcW w:w="450" w:type="dxa"/>
            <w:shd w:val="clear" w:color="auto" w:fill="auto"/>
          </w:tcPr>
          <w:p w14:paraId="34289539"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3F17776"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3180B5D8"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NBSIR 75 950, 0.94 </w:t>
            </w:r>
          </w:p>
        </w:tc>
      </w:tr>
      <w:tr w:rsidR="0050166D" w:rsidRPr="00AB5806" w14:paraId="6969B5E1" w14:textId="77777777" w:rsidTr="000E612F">
        <w:tc>
          <w:tcPr>
            <w:tcW w:w="450" w:type="dxa"/>
            <w:shd w:val="clear" w:color="auto" w:fill="auto"/>
          </w:tcPr>
          <w:p w14:paraId="20935137"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E9F809F"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5816453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NBS, 272 (flaming) and 167 (non-flaming) </w:t>
            </w:r>
          </w:p>
        </w:tc>
      </w:tr>
      <w:tr w:rsidR="0050166D" w:rsidRPr="00AB5806" w14:paraId="61E1981A" w14:textId="77777777" w:rsidTr="000E612F">
        <w:tc>
          <w:tcPr>
            <w:tcW w:w="450" w:type="dxa"/>
            <w:shd w:val="clear" w:color="auto" w:fill="auto"/>
          </w:tcPr>
          <w:p w14:paraId="17735859"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F111F7B"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Tunnel Test (ASTM E84):</w:t>
            </w:r>
          </w:p>
        </w:tc>
        <w:tc>
          <w:tcPr>
            <w:tcW w:w="5688" w:type="dxa"/>
            <w:shd w:val="clear" w:color="auto" w:fill="auto"/>
          </w:tcPr>
          <w:p w14:paraId="0EF180A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15 (flame) and 300 (smoke)</w:t>
            </w:r>
          </w:p>
        </w:tc>
      </w:tr>
      <w:tr w:rsidR="0050166D" w:rsidRPr="00AB5806" w14:paraId="6E98A29F" w14:textId="77777777" w:rsidTr="000E612F">
        <w:tc>
          <w:tcPr>
            <w:tcW w:w="450" w:type="dxa"/>
            <w:shd w:val="clear" w:color="auto" w:fill="auto"/>
          </w:tcPr>
          <w:p w14:paraId="26950CF1"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F1E37D1" w14:textId="0F492918" w:rsidR="0050166D" w:rsidRPr="00AB5806" w:rsidRDefault="0037777C"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50166D" w:rsidRPr="00AB5806">
              <w:rPr>
                <w:rFonts w:ascii="Arial" w:hAnsi="Arial" w:cs="Arial"/>
                <w:sz w:val="20"/>
                <w:szCs w:val="20"/>
              </w:rPr>
              <w:t>CAN/ULC-S102.2</w:t>
            </w:r>
            <w:r>
              <w:rPr>
                <w:rFonts w:ascii="Arial" w:hAnsi="Arial" w:cs="Arial"/>
                <w:sz w:val="20"/>
                <w:szCs w:val="20"/>
              </w:rPr>
              <w:t>)</w:t>
            </w:r>
            <w:r w:rsidR="0050166D" w:rsidRPr="00AB5806">
              <w:rPr>
                <w:rFonts w:ascii="Arial" w:hAnsi="Arial" w:cs="Arial"/>
                <w:sz w:val="20"/>
                <w:szCs w:val="20"/>
              </w:rPr>
              <w:t>:</w:t>
            </w:r>
          </w:p>
        </w:tc>
        <w:tc>
          <w:tcPr>
            <w:tcW w:w="5688" w:type="dxa"/>
            <w:shd w:val="clear" w:color="auto" w:fill="auto"/>
          </w:tcPr>
          <w:p w14:paraId="05502499" w14:textId="77051294"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FSC1 of 5 and SD of 30, achieved</w:t>
            </w:r>
          </w:p>
        </w:tc>
      </w:tr>
      <w:tr w:rsidR="0050166D" w:rsidRPr="00AB5806" w14:paraId="0EAD140C" w14:textId="77777777" w:rsidTr="000E612F">
        <w:tc>
          <w:tcPr>
            <w:tcW w:w="450" w:type="dxa"/>
            <w:shd w:val="clear" w:color="auto" w:fill="auto"/>
          </w:tcPr>
          <w:p w14:paraId="70A3B1EF"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2EE078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10A46B17"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0166D" w:rsidRPr="00AB5806" w14:paraId="7731BB7F" w14:textId="77777777" w:rsidTr="000E612F">
        <w:tc>
          <w:tcPr>
            <w:tcW w:w="450" w:type="dxa"/>
            <w:shd w:val="clear" w:color="auto" w:fill="auto"/>
          </w:tcPr>
          <w:p w14:paraId="20E6B6CD"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DFF90EB"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606754EC" w14:textId="511C6329"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Static coefficient of friction, Neolite dry 0.85, Neolite wet 0.76</w:t>
            </w:r>
          </w:p>
        </w:tc>
      </w:tr>
      <w:tr w:rsidR="0050166D" w:rsidRPr="00AB5806" w14:paraId="5DEC293B" w14:textId="77777777" w:rsidTr="000E612F">
        <w:tc>
          <w:tcPr>
            <w:tcW w:w="450" w:type="dxa"/>
            <w:shd w:val="clear" w:color="auto" w:fill="auto"/>
          </w:tcPr>
          <w:p w14:paraId="49F2E834"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6C2F07B"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7F904D23"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0166D" w:rsidRPr="00AB5806" w14:paraId="43B4EE6F" w14:textId="77777777" w:rsidTr="000E612F">
        <w:tc>
          <w:tcPr>
            <w:tcW w:w="450" w:type="dxa"/>
            <w:shd w:val="clear" w:color="auto" w:fill="auto"/>
          </w:tcPr>
          <w:p w14:paraId="47F69D77"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B03C0AF" w14:textId="20F56025" w:rsidR="0050166D" w:rsidRPr="00AB5806" w:rsidRDefault="00204F3C" w:rsidP="005F3166">
            <w:pPr>
              <w:spacing w:before="20" w:after="60"/>
              <w:rPr>
                <w:rFonts w:ascii="Arial" w:hAnsi="Arial" w:cs="Arial"/>
                <w:sz w:val="20"/>
                <w:szCs w:val="20"/>
              </w:rPr>
            </w:pPr>
            <w:r>
              <w:rPr>
                <w:rFonts w:ascii="Arial" w:hAnsi="Arial" w:cs="Arial"/>
                <w:sz w:val="20"/>
                <w:szCs w:val="20"/>
              </w:rPr>
              <w:t>Indoor Air Quality</w:t>
            </w:r>
            <w:r w:rsidR="0050166D" w:rsidRPr="00AB5806">
              <w:rPr>
                <w:rFonts w:ascii="Arial" w:hAnsi="Arial" w:cs="Arial"/>
                <w:sz w:val="20"/>
                <w:szCs w:val="20"/>
              </w:rPr>
              <w:t>:</w:t>
            </w:r>
          </w:p>
        </w:tc>
        <w:tc>
          <w:tcPr>
            <w:tcW w:w="5688" w:type="dxa"/>
            <w:shd w:val="clear" w:color="auto" w:fill="auto"/>
          </w:tcPr>
          <w:p w14:paraId="3A03ED57" w14:textId="4520015F" w:rsidR="0050166D" w:rsidRPr="00AB5806" w:rsidRDefault="00204F3C"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37777C">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811687" w:rsidRPr="00AB5806" w14:paraId="586AF3C4" w14:textId="77777777" w:rsidTr="000E612F">
        <w:tc>
          <w:tcPr>
            <w:tcW w:w="450" w:type="dxa"/>
            <w:shd w:val="clear" w:color="auto" w:fill="auto"/>
          </w:tcPr>
          <w:p w14:paraId="0F2BEB46" w14:textId="77777777" w:rsidR="00811687" w:rsidRPr="00AB5806" w:rsidRDefault="00811687"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2ED92D4" w14:textId="77777777" w:rsidR="00811687" w:rsidRPr="00AB5806" w:rsidRDefault="00811687" w:rsidP="00811687">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0F26A3EA" w14:textId="5BE513EA" w:rsidR="00811687" w:rsidRPr="00AB5806" w:rsidRDefault="0096765A" w:rsidP="00811687">
            <w:pPr>
              <w:spacing w:before="20" w:after="60"/>
              <w:rPr>
                <w:rFonts w:ascii="Arial" w:hAnsi="Arial" w:cs="Arial"/>
                <w:sz w:val="20"/>
                <w:szCs w:val="20"/>
              </w:rPr>
            </w:pPr>
            <w:r>
              <w:rPr>
                <w:rFonts w:ascii="Arial" w:hAnsi="Arial" w:cs="Arial"/>
                <w:sz w:val="20"/>
                <w:szCs w:val="20"/>
              </w:rPr>
              <w:t xml:space="preserve">3rd </w:t>
            </w:r>
            <w:r w:rsidR="007E39B0">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7DA3DBFF" w14:textId="77777777" w:rsidTr="000E612F">
        <w:tc>
          <w:tcPr>
            <w:tcW w:w="450" w:type="dxa"/>
            <w:shd w:val="clear" w:color="auto" w:fill="auto"/>
          </w:tcPr>
          <w:p w14:paraId="1A16830B"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CADF27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683CC023" w14:textId="6891A440"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37777C">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78DFEF99" w14:textId="77777777" w:rsidTr="000E612F">
        <w:tc>
          <w:tcPr>
            <w:tcW w:w="450" w:type="dxa"/>
            <w:shd w:val="clear" w:color="auto" w:fill="auto"/>
          </w:tcPr>
          <w:p w14:paraId="123BCB50"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AF37157" w14:textId="33FF5A9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37777C">
              <w:rPr>
                <w:rFonts w:ascii="Arial" w:hAnsi="Arial" w:cs="Arial"/>
                <w:sz w:val="20"/>
                <w:szCs w:val="20"/>
              </w:rPr>
              <w:t>01</w:t>
            </w:r>
            <w:r w:rsidRPr="00AB5806">
              <w:rPr>
                <w:rFonts w:ascii="Arial" w:hAnsi="Arial" w:cs="Arial"/>
                <w:sz w:val="20"/>
                <w:szCs w:val="20"/>
              </w:rPr>
              <w:t>40</w:t>
            </w:r>
            <w:r w:rsidR="0037777C">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084FCFB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13 dB (compare only ∆ values)</w:t>
            </w:r>
          </w:p>
        </w:tc>
      </w:tr>
      <w:tr w:rsidR="009F3B3E" w:rsidRPr="00AB5806" w14:paraId="0CDD106F" w14:textId="77777777" w:rsidTr="000E612F">
        <w:tc>
          <w:tcPr>
            <w:tcW w:w="450" w:type="dxa"/>
            <w:shd w:val="clear" w:color="auto" w:fill="auto"/>
          </w:tcPr>
          <w:p w14:paraId="41F7BE29"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847153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3A05D58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91 </w:t>
            </w:r>
          </w:p>
        </w:tc>
      </w:tr>
      <w:tr w:rsidR="009F3B3E" w:rsidRPr="00AB5806" w14:paraId="0A1C6097" w14:textId="77777777" w:rsidTr="000E612F">
        <w:tc>
          <w:tcPr>
            <w:tcW w:w="450" w:type="dxa"/>
            <w:shd w:val="clear" w:color="auto" w:fill="auto"/>
          </w:tcPr>
          <w:p w14:paraId="17CC1FE2"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CEFE55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6A3EE67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9F3B3E" w:rsidRPr="00AB5806" w14:paraId="5F060D2B" w14:textId="77777777" w:rsidTr="000E612F">
        <w:tc>
          <w:tcPr>
            <w:tcW w:w="450" w:type="dxa"/>
            <w:shd w:val="clear" w:color="auto" w:fill="auto"/>
          </w:tcPr>
          <w:p w14:paraId="7DB22FE8"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7E4DA2F" w14:textId="4B2490E8"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6192FD23" w14:textId="52F0D650" w:rsidR="009F3B3E" w:rsidRPr="00AB5806" w:rsidRDefault="009F3B3E" w:rsidP="009F3B3E">
            <w:pPr>
              <w:spacing w:before="20" w:after="60"/>
              <w:rPr>
                <w:rFonts w:ascii="Arial" w:hAnsi="Arial" w:cs="Arial"/>
                <w:sz w:val="20"/>
                <w:szCs w:val="20"/>
              </w:rPr>
            </w:pPr>
            <w:bookmarkStart w:id="5" w:name="_Hlk65860968"/>
            <w:r w:rsidRPr="00AB5806">
              <w:rPr>
                <w:rFonts w:ascii="Arial" w:hAnsi="Arial" w:cs="Arial"/>
                <w:sz w:val="20"/>
                <w:szCs w:val="20"/>
              </w:rPr>
              <w:t>≤ 850 lbs. / sq. inch; for forklift traffic nora polyurethane adhesive is required</w:t>
            </w:r>
            <w:bookmarkEnd w:id="5"/>
          </w:p>
        </w:tc>
      </w:tr>
      <w:tr w:rsidR="009F3B3E" w:rsidRPr="00AB5806" w14:paraId="6AFE1BD2" w14:textId="77777777" w:rsidTr="000E612F">
        <w:tc>
          <w:tcPr>
            <w:tcW w:w="450" w:type="dxa"/>
            <w:shd w:val="clear" w:color="auto" w:fill="auto"/>
          </w:tcPr>
          <w:p w14:paraId="06340237"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445B86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1C0C2C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0.007 oz. (0.2g) weight loss </w:t>
            </w:r>
          </w:p>
        </w:tc>
      </w:tr>
      <w:tr w:rsidR="009F3B3E" w:rsidRPr="00AB5806" w14:paraId="2D051B49" w14:textId="77777777" w:rsidTr="000E612F">
        <w:tc>
          <w:tcPr>
            <w:tcW w:w="450" w:type="dxa"/>
            <w:shd w:val="clear" w:color="auto" w:fill="auto"/>
          </w:tcPr>
          <w:p w14:paraId="317E2FF7"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102E721" w14:textId="4C8B1F77"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7769B30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3B82E33F" w14:textId="77777777" w:rsidTr="000E612F">
        <w:tc>
          <w:tcPr>
            <w:tcW w:w="450" w:type="dxa"/>
            <w:shd w:val="clear" w:color="auto" w:fill="auto"/>
          </w:tcPr>
          <w:p w14:paraId="37F484FB"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A9E534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66ED5FD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15AC6AF2" w14:textId="77777777" w:rsidTr="000E612F">
        <w:tc>
          <w:tcPr>
            <w:tcW w:w="450" w:type="dxa"/>
            <w:shd w:val="clear" w:color="auto" w:fill="auto"/>
          </w:tcPr>
          <w:p w14:paraId="2754B271"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74E689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16109838" w14:textId="383FB14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FF7027">
              <w:rPr>
                <w:rFonts w:ascii="Arial" w:hAnsi="Arial" w:cs="Arial"/>
                <w:sz w:val="20"/>
                <w:szCs w:val="20"/>
              </w:rPr>
              <w:t>1</w:t>
            </w:r>
            <w:r w:rsidRPr="00AB5806">
              <w:rPr>
                <w:rFonts w:ascii="Arial" w:hAnsi="Arial" w:cs="Arial"/>
                <w:sz w:val="20"/>
                <w:szCs w:val="20"/>
              </w:rPr>
              <w:t>000 Volts at 20% RH</w:t>
            </w:r>
          </w:p>
        </w:tc>
      </w:tr>
      <w:tr w:rsidR="009F3B3E" w:rsidRPr="00AB5806" w14:paraId="18CF82B9" w14:textId="77777777" w:rsidTr="000E612F">
        <w:tc>
          <w:tcPr>
            <w:tcW w:w="450" w:type="dxa"/>
            <w:shd w:val="clear" w:color="auto" w:fill="auto"/>
          </w:tcPr>
          <w:p w14:paraId="128F8E26"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84CFF2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2CE6441B" w14:textId="7539981E"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AB5806">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1423FA2F" w14:textId="77777777" w:rsidTr="000E612F">
        <w:tc>
          <w:tcPr>
            <w:tcW w:w="450" w:type="dxa"/>
            <w:shd w:val="clear" w:color="auto" w:fill="auto"/>
          </w:tcPr>
          <w:p w14:paraId="6BD6AE8C"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5F32BA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7CDF0DD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66E8AAFF" w14:textId="77777777" w:rsidTr="000E612F">
        <w:tc>
          <w:tcPr>
            <w:tcW w:w="450" w:type="dxa"/>
            <w:shd w:val="clear" w:color="auto" w:fill="auto"/>
          </w:tcPr>
          <w:p w14:paraId="43418C5B"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4B24A2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06D2FAB5" w14:textId="460185D2"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should be ~ 1 m2,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09FEB85B" w14:textId="77777777" w:rsidTr="000E612F">
        <w:tc>
          <w:tcPr>
            <w:tcW w:w="450" w:type="dxa"/>
            <w:shd w:val="clear" w:color="auto" w:fill="auto"/>
          </w:tcPr>
          <w:p w14:paraId="06F4F027" w14:textId="77777777" w:rsidR="009F3B3E" w:rsidRPr="00AB5806" w:rsidRDefault="009F3B3E" w:rsidP="0037777C">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DADB0C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0B63AD5E" w14:textId="3D8DAC03"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464B9790" w:rsidR="00C35AB3" w:rsidRPr="00AB5806" w:rsidRDefault="00C35AB3"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7F0CC554" w:rsidR="00C35AB3" w:rsidRPr="00AB5806" w:rsidRDefault="00C35AB3"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27FB2A58" w:rsidR="00C35AB3" w:rsidRPr="00AB5806" w:rsidRDefault="00C35AB3"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5D024913" w:rsidR="00140234" w:rsidRPr="00AB5806" w:rsidRDefault="00140234"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204F3C">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211C69" w:rsidRPr="00211C69">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3BBA4EF8" w:rsidR="0055260A" w:rsidRPr="00AB5806" w:rsidRDefault="00140234" w:rsidP="0037777C">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204F3C">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37777C">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37777C">
      <w:pPr>
        <w:pStyle w:val="ListParagraph"/>
        <w:numPr>
          <w:ilvl w:val="0"/>
          <w:numId w:val="28"/>
        </w:numPr>
        <w:spacing w:before="120" w:after="60"/>
        <w:ind w:left="1080"/>
        <w:contextualSpacing w:val="0"/>
        <w:rPr>
          <w:rFonts w:ascii="Arial" w:hAnsi="Arial" w:cs="Arial"/>
          <w:sz w:val="20"/>
          <w:szCs w:val="20"/>
        </w:rPr>
      </w:pPr>
      <w:bookmarkStart w:id="6"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37777C">
      <w:pPr>
        <w:pStyle w:val="ListParagraph"/>
        <w:numPr>
          <w:ilvl w:val="0"/>
          <w:numId w:val="28"/>
        </w:numPr>
        <w:spacing w:before="120" w:after="60"/>
        <w:ind w:left="1080"/>
        <w:contextualSpacing w:val="0"/>
        <w:rPr>
          <w:rFonts w:ascii="Arial" w:hAnsi="Arial" w:cs="Arial"/>
          <w:sz w:val="20"/>
          <w:szCs w:val="20"/>
        </w:rPr>
      </w:pPr>
      <w:bookmarkStart w:id="7" w:name="_Hlk64470643"/>
      <w:bookmarkEnd w:id="6"/>
      <w:r>
        <w:rPr>
          <w:rFonts w:ascii="Arial" w:hAnsi="Arial" w:cs="Arial"/>
          <w:sz w:val="20"/>
          <w:szCs w:val="20"/>
        </w:rPr>
        <w:t>It is recommended to have a minimum of one installer per working party with the ability to provide proof of current credentials at request.</w:t>
      </w:r>
    </w:p>
    <w:bookmarkEnd w:id="7"/>
    <w:p w14:paraId="7A3A8E05" w14:textId="545FE13E" w:rsidR="00140234" w:rsidRPr="00AB5806" w:rsidRDefault="00140234" w:rsidP="0037777C">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37777C">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1BA70ECF" w14:textId="7C5A8EAE" w:rsidR="00140234" w:rsidRDefault="00140234" w:rsidP="00211C69">
      <w:pPr>
        <w:spacing w:before="480" w:after="480"/>
        <w:jc w:val="center"/>
        <w:rPr>
          <w:rFonts w:ascii="Arial" w:hAnsi="Arial" w:cs="Arial"/>
          <w:sz w:val="20"/>
          <w:szCs w:val="20"/>
        </w:rPr>
      </w:pPr>
      <w:r w:rsidRPr="00AB5806">
        <w:rPr>
          <w:rFonts w:ascii="Arial" w:hAnsi="Arial" w:cs="Arial"/>
          <w:sz w:val="20"/>
          <w:szCs w:val="20"/>
        </w:rPr>
        <w:t>END OF SECTION</w:t>
      </w:r>
    </w:p>
    <w:p w14:paraId="5E32D3CA" w14:textId="77777777" w:rsidR="00211C69" w:rsidRDefault="00211C69" w:rsidP="00211C69">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3920B554" w14:textId="77777777" w:rsidR="00211C69" w:rsidRPr="00AB5806" w:rsidRDefault="00211C69"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20AC838C"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37777C">
      <w:rPr>
        <w:rStyle w:val="NUM"/>
        <w:sz w:val="16"/>
        <w:szCs w:val="16"/>
      </w:rPr>
      <w:t>05/2022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23DFBAC7"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37777C">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46F4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8"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8022D"/>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586430">
    <w:abstractNumId w:val="0"/>
  </w:num>
  <w:num w:numId="2" w16cid:durableId="108740163">
    <w:abstractNumId w:val="25"/>
  </w:num>
  <w:num w:numId="3" w16cid:durableId="1448885641">
    <w:abstractNumId w:val="2"/>
  </w:num>
  <w:num w:numId="4" w16cid:durableId="1323044183">
    <w:abstractNumId w:val="24"/>
  </w:num>
  <w:num w:numId="5" w16cid:durableId="2103990305">
    <w:abstractNumId w:val="6"/>
  </w:num>
  <w:num w:numId="6" w16cid:durableId="94449444">
    <w:abstractNumId w:val="19"/>
  </w:num>
  <w:num w:numId="7" w16cid:durableId="257718299">
    <w:abstractNumId w:val="22"/>
  </w:num>
  <w:num w:numId="8" w16cid:durableId="1521777596">
    <w:abstractNumId w:val="18"/>
  </w:num>
  <w:num w:numId="9" w16cid:durableId="1478642007">
    <w:abstractNumId w:val="3"/>
  </w:num>
  <w:num w:numId="10" w16cid:durableId="952709537">
    <w:abstractNumId w:val="1"/>
  </w:num>
  <w:num w:numId="11" w16cid:durableId="1762992074">
    <w:abstractNumId w:val="31"/>
  </w:num>
  <w:num w:numId="12" w16cid:durableId="468787539">
    <w:abstractNumId w:val="12"/>
  </w:num>
  <w:num w:numId="13" w16cid:durableId="2055427433">
    <w:abstractNumId w:val="16"/>
  </w:num>
  <w:num w:numId="14" w16cid:durableId="929392248">
    <w:abstractNumId w:val="29"/>
  </w:num>
  <w:num w:numId="15" w16cid:durableId="310208731">
    <w:abstractNumId w:val="27"/>
  </w:num>
  <w:num w:numId="16" w16cid:durableId="630133034">
    <w:abstractNumId w:val="26"/>
  </w:num>
  <w:num w:numId="17" w16cid:durableId="606737670">
    <w:abstractNumId w:val="4"/>
  </w:num>
  <w:num w:numId="18" w16cid:durableId="466630581">
    <w:abstractNumId w:val="15"/>
  </w:num>
  <w:num w:numId="19" w16cid:durableId="633367391">
    <w:abstractNumId w:val="10"/>
  </w:num>
  <w:num w:numId="20" w16cid:durableId="403449664">
    <w:abstractNumId w:val="17"/>
  </w:num>
  <w:num w:numId="21" w16cid:durableId="2051294472">
    <w:abstractNumId w:val="23"/>
  </w:num>
  <w:num w:numId="22" w16cid:durableId="1432355789">
    <w:abstractNumId w:val="28"/>
  </w:num>
  <w:num w:numId="23" w16cid:durableId="181676036">
    <w:abstractNumId w:val="20"/>
  </w:num>
  <w:num w:numId="24" w16cid:durableId="1142698109">
    <w:abstractNumId w:val="30"/>
  </w:num>
  <w:num w:numId="25" w16cid:durableId="1004170589">
    <w:abstractNumId w:val="9"/>
  </w:num>
  <w:num w:numId="26" w16cid:durableId="2005627047">
    <w:abstractNumId w:val="13"/>
  </w:num>
  <w:num w:numId="27" w16cid:durableId="815687517">
    <w:abstractNumId w:val="8"/>
  </w:num>
  <w:num w:numId="28" w16cid:durableId="1413433192">
    <w:abstractNumId w:val="21"/>
  </w:num>
  <w:num w:numId="29" w16cid:durableId="121536293">
    <w:abstractNumId w:val="7"/>
  </w:num>
  <w:num w:numId="30" w16cid:durableId="123771437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1425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4564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588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41A9"/>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04F3C"/>
    <w:rsid w:val="00210472"/>
    <w:rsid w:val="00211C69"/>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7777C"/>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3C94"/>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39B0"/>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B8B"/>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2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FF70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7027"/>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11C69"/>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0103091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372801132">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2537</Words>
  <Characters>14142</Characters>
  <Application>Microsoft Office Word</Application>
  <DocSecurity>0</DocSecurity>
  <Lines>328</Lines>
  <Paragraphs>256</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2022-05-31T21:41:00Z</dcterms:created>
  <dcterms:modified xsi:type="dcterms:W3CDTF">2022-05-31T22:09:00Z</dcterms:modified>
</cp:coreProperties>
</file>